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EB4FDC" w:rsidRDefault="003B5FF9" w:rsidP="001C42DB">
      <w:pPr>
        <w:jc w:val="center"/>
        <w:rPr>
          <w:rFonts w:ascii="Sylfaen" w:hAnsi="Sylfaen" w:cs="Sylfaen"/>
          <w:b/>
          <w:bCs/>
          <w:lang w:val="ka-GE"/>
        </w:rPr>
      </w:pPr>
      <w:r w:rsidRPr="00EB4FDC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917CA" w:rsidRPr="004917CA" w:rsidRDefault="00B846C0" w:rsidP="006858BC">
            <w:pPr>
              <w:spacing w:after="0"/>
              <w:ind w:right="34"/>
              <w:rPr>
                <w:rFonts w:ascii="Sylfaen" w:hAnsi="Sylfaen"/>
                <w:sz w:val="20"/>
                <w:szCs w:val="20"/>
              </w:rPr>
            </w:pPr>
            <w:r w:rsidRPr="004917CA">
              <w:rPr>
                <w:rFonts w:ascii="Sylfaen" w:hAnsi="Sylfaen"/>
                <w:sz w:val="20"/>
                <w:szCs w:val="20"/>
                <w:lang w:val="ka-GE"/>
              </w:rPr>
              <w:t>არქეოლოგია და ანტიკური ცივილიზაციები</w:t>
            </w:r>
            <w:r w:rsidR="004917CA" w:rsidRPr="004917CA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846C0" w:rsidRPr="004917CA" w:rsidRDefault="004917CA" w:rsidP="006858BC">
            <w:pPr>
              <w:spacing w:after="0"/>
              <w:ind w:right="34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B846C0">
              <w:rPr>
                <w:rFonts w:ascii="Sylfaen" w:hAnsi="Sylfaen"/>
                <w:bCs/>
              </w:rPr>
              <w:t xml:space="preserve"> </w:t>
            </w:r>
            <w:r w:rsidRPr="004917CA">
              <w:rPr>
                <w:rFonts w:ascii="Sylfaen" w:hAnsi="Sylfaen"/>
                <w:bCs/>
                <w:sz w:val="20"/>
                <w:szCs w:val="20"/>
              </w:rPr>
              <w:t xml:space="preserve">Archaeology and </w:t>
            </w:r>
            <w:r w:rsidRPr="004917CA">
              <w:rPr>
                <w:rFonts w:ascii="Sylfaen" w:hAnsi="Sylfaen"/>
                <w:sz w:val="20"/>
                <w:szCs w:val="20"/>
                <w:lang w:val="en"/>
              </w:rPr>
              <w:t xml:space="preserve"> </w:t>
            </w:r>
            <w:r w:rsidRPr="004917CA">
              <w:rPr>
                <w:rStyle w:val="hps"/>
                <w:rFonts w:ascii="Sylfaen" w:hAnsi="Sylfaen"/>
                <w:sz w:val="20"/>
                <w:szCs w:val="20"/>
                <w:lang w:val="en"/>
              </w:rPr>
              <w:t>Ancient Civilizations</w:t>
            </w:r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Default="00B846C0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ჰუმანიტარულ</w:t>
            </w:r>
            <w:r w:rsidRPr="00B846C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მეცნიერებათა  მაგისტრი არქეოლოგიაში</w:t>
            </w:r>
          </w:p>
          <w:p w:rsidR="00B846C0" w:rsidRPr="00B846C0" w:rsidRDefault="00B846C0" w:rsidP="006858BC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bCs/>
              </w:rPr>
              <w:t>MA  in  Archaeology</w:t>
            </w:r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55084E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917CA" w:rsidRDefault="00B846C0" w:rsidP="0055084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17CA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935093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846C0" w:rsidRPr="004917CA" w:rsidRDefault="00B846C0" w:rsidP="0055084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17CA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პროფესორი ომარი ლანჩავა;    ასოცირებული პროფესორი მერაბი ჭუმბურიძე                                                                                </w:t>
            </w:r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846C0" w:rsidRPr="00290E48" w:rsidRDefault="00761D47" w:rsidP="000D762D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90E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0D762D" w:rsidRPr="00290E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90E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="00B846C0" w:rsidRPr="00290E4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- 4 სემესტრი;</w:t>
            </w:r>
          </w:p>
          <w:p w:rsidR="00761D47" w:rsidRPr="00B846C0" w:rsidRDefault="00B846C0" w:rsidP="000D762D">
            <w:pPr>
              <w:spacing w:after="0"/>
              <w:rPr>
                <w:rFonts w:ascii="Sylfaen" w:hAnsi="Sylfaen" w:cs="Sylfaen"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90E4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პროგრამის მოცულობა - 120 </w:t>
            </w:r>
            <w:r w:rsidR="00761D47" w:rsidRPr="00290E4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761D47" w:rsidRPr="00290E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761D47" w:rsidRPr="006858BC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074788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074788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 w:rsidRPr="0007478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74788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074788" w:rsidRDefault="00B846C0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74788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6858BC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6858BC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6C0" w:rsidRPr="00B846C0" w:rsidRDefault="00B846C0" w:rsidP="00B846C0">
            <w:pPr>
              <w:numPr>
                <w:ilvl w:val="0"/>
                <w:numId w:val="7"/>
              </w:numPr>
              <w:spacing w:after="0"/>
              <w:ind w:right="-720"/>
              <w:jc w:val="both"/>
              <w:rPr>
                <w:rFonts w:ascii="AcadNusx" w:hAnsi="AcadNusx"/>
                <w:sz w:val="20"/>
                <w:szCs w:val="20"/>
              </w:rPr>
            </w:pPr>
            <w:r w:rsidRPr="00B846C0">
              <w:rPr>
                <w:rFonts w:ascii="Sylfaen" w:hAnsi="Sylfaen"/>
                <w:sz w:val="20"/>
                <w:szCs w:val="20"/>
              </w:rPr>
              <w:t xml:space="preserve">ბაკალავრის/დიპლომირებული სპეციალისტის აკადემიური ხარისხი. </w:t>
            </w:r>
          </w:p>
          <w:p w:rsidR="00B846C0" w:rsidRPr="00B846C0" w:rsidRDefault="00B846C0" w:rsidP="00B846C0">
            <w:pPr>
              <w:numPr>
                <w:ilvl w:val="0"/>
                <w:numId w:val="7"/>
              </w:numPr>
              <w:spacing w:after="0"/>
              <w:ind w:right="-720"/>
              <w:jc w:val="both"/>
              <w:rPr>
                <w:rFonts w:ascii="AcadNusx" w:hAnsi="AcadNusx"/>
                <w:sz w:val="20"/>
                <w:szCs w:val="20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ერთიანი ეროვნული სამაგისტრო გამოცდის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ჩაბარება.</w:t>
            </w:r>
          </w:p>
          <w:p w:rsidR="00B846C0" w:rsidRPr="00B846C0" w:rsidRDefault="00B846C0" w:rsidP="00B846C0">
            <w:pPr>
              <w:numPr>
                <w:ilvl w:val="0"/>
                <w:numId w:val="7"/>
              </w:numPr>
              <w:spacing w:after="0"/>
              <w:ind w:right="-720"/>
              <w:jc w:val="both"/>
              <w:rPr>
                <w:rFonts w:ascii="AcadNusx" w:hAnsi="AcadNusx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საუნივერსიტეტო </w:t>
            </w:r>
            <w:r w:rsidRPr="00B846C0">
              <w:rPr>
                <w:rFonts w:ascii="Sylfaen" w:hAnsi="Sylfaen"/>
                <w:sz w:val="20"/>
                <w:szCs w:val="20"/>
              </w:rPr>
              <w:t>გამოცდა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</w:rPr>
              <w:t>არქეოლოგიაში ტესტირების ფორმატით.</w:t>
            </w:r>
            <w:r w:rsidRPr="00265A82">
              <w:rPr>
                <w:rFonts w:ascii="Sylfaen" w:hAnsi="Sylfaen"/>
              </w:rPr>
              <w:t xml:space="preserve"> </w:t>
            </w:r>
          </w:p>
        </w:tc>
      </w:tr>
      <w:tr w:rsidR="00761D47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6858BC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6C0" w:rsidRPr="00B846C0" w:rsidRDefault="00B846C0" w:rsidP="00B846C0">
            <w:pPr>
              <w:numPr>
                <w:ilvl w:val="0"/>
                <w:numId w:val="9"/>
              </w:numPr>
              <w:spacing w:after="0" w:line="240" w:lineRule="auto"/>
              <w:ind w:right="-720"/>
              <w:jc w:val="both"/>
              <w:rPr>
                <w:rFonts w:ascii="AcadNusx" w:hAnsi="AcadNusx"/>
                <w:sz w:val="20"/>
                <w:szCs w:val="20"/>
              </w:rPr>
            </w:pPr>
            <w:r w:rsidRPr="00B846C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</w:t>
            </w:r>
            <w:r w:rsidRPr="00B846C0">
              <w:rPr>
                <w:rFonts w:ascii="Sylfaen" w:hAnsi="Sylfaen"/>
                <w:sz w:val="20"/>
                <w:szCs w:val="20"/>
              </w:rPr>
              <w:t>კულტურული და ეკონომიკური განვითარების პერსპექტივები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ს გათვალისწინებით, </w:t>
            </w:r>
          </w:p>
          <w:p w:rsid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ევროპულ საგანმანათლებლო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სისტემაში არსებული თანამედროვე მოთხოვნების შესაბამისად,  მოამზადოს </w:t>
            </w:r>
          </w:p>
          <w:p w:rsid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უმაღლესი განათლების II საფეხურისათვის განსაზღვრული კომპეტენციებით, სათანადო ცოდნითა და </w:t>
            </w:r>
          </w:p>
          <w:p w:rsid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შესაბამისი უნარ-ჩვევებით  აღჭურვილი მაღალკვალიფიციური 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კადრები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ადგილობრივი და საერთაშორისო </w:t>
            </w:r>
          </w:p>
          <w:p w:rsid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კვლევითი ცენტრებისა და 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არქეოლოგიური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ექსპედიციებისათვის, რომლებიც მონაწილეობას მიიღებენ </w:t>
            </w:r>
          </w:p>
          <w:p w:rsid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არქეოლოგიური ძეგლების </w:t>
            </w:r>
            <w:r w:rsidRPr="00B846C0">
              <w:rPr>
                <w:rFonts w:ascii="Sylfaen" w:hAnsi="Sylfaen"/>
                <w:sz w:val="20"/>
                <w:szCs w:val="20"/>
              </w:rPr>
              <w:t>კვლევ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აში 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არქეოლოგიური ძეგლების გამოვლენა, გათხრა, ფიქსაცია, </w:t>
            </w:r>
          </w:p>
          <w:p w:rsid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</w:rPr>
              <w:t>არტეფაქტების კამერალური დამუშავება, რესტავრაცია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-კონსერვაცია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, პუბლიკაციისათვის </w:t>
            </w:r>
          </w:p>
          <w:p w:rsid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</w:rPr>
              <w:t>მომზადება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B846C0">
              <w:rPr>
                <w:rFonts w:ascii="Sylfaen" w:hAnsi="Sylfaen"/>
                <w:sz w:val="20"/>
                <w:szCs w:val="20"/>
              </w:rPr>
              <w:t>.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</w:rPr>
              <w:t>საქართველოსათვის არქეოლოგია პრიორიტეტული დარგია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და დიდი ყურადღება ექცევა </w:t>
            </w:r>
          </w:p>
          <w:p w:rsid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არქეოლოგიური ძეგლების კვლევას, რაც უპირველეს ყოვლისა საბიუჯეტო და საგრანტო დაფინანსების </w:t>
            </w:r>
          </w:p>
          <w:p w:rsid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გაზრდაში გამოიხატა. აკაკი წერეთლის სახელმწიფო უნივერსიტეტი საქართველოს ეროვნული მუზეუმის</w:t>
            </w:r>
          </w:p>
          <w:p w:rsid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ოთარ ლორთქიფანიძის არქეოლოგიის ცენტრთან და ქუთაისის სახელმწიფო მუზეუმთან მჭიდრო </w:t>
            </w:r>
          </w:p>
          <w:p w:rsidR="00B846C0" w:rsidRP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AcadNusx" w:hAnsi="AcadNusx"/>
                <w:sz w:val="20"/>
                <w:szCs w:val="20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თანამშრომლობით წარმატებით ახორციელებს ქუთაისისა და იმერეთის რეგიონის არქეოლოგიურ კვლევას.</w:t>
            </w:r>
          </w:p>
          <w:p w:rsidR="00B846C0" w:rsidRPr="00B846C0" w:rsidRDefault="00B846C0" w:rsidP="00B846C0">
            <w:pPr>
              <w:numPr>
                <w:ilvl w:val="0"/>
                <w:numId w:val="9"/>
              </w:numPr>
              <w:spacing w:after="0" w:line="240" w:lineRule="auto"/>
              <w:ind w:right="-720"/>
              <w:jc w:val="both"/>
              <w:rPr>
                <w:rFonts w:ascii="AcadNusx" w:hAnsi="AcadNusx"/>
                <w:sz w:val="20"/>
                <w:szCs w:val="20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კადრების მომზადება </w:t>
            </w:r>
            <w:r w:rsidRPr="00B846C0">
              <w:rPr>
                <w:rFonts w:ascii="Sylfaen" w:hAnsi="Sylfaen"/>
                <w:sz w:val="20"/>
                <w:szCs w:val="20"/>
              </w:rPr>
              <w:t>კულტურული მემკვიდრეობის დაცვის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,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სხვადასხვა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კულტურულ-საგანმანათლებლო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</w:rPr>
              <w:t>პროგრამებ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ისა (მუზეუმები, ადგილობრივი და საერთაშორისო ძეგლთა დაცვითი პროგრამები) და </w:t>
            </w:r>
          </w:p>
          <w:p w:rsidR="00B846C0" w:rsidRPr="00B846C0" w:rsidRDefault="00B846C0" w:rsidP="00B846C0">
            <w:pPr>
              <w:spacing w:after="0" w:line="240" w:lineRule="auto"/>
              <w:ind w:left="720" w:right="-720"/>
              <w:jc w:val="both"/>
              <w:rPr>
                <w:rFonts w:ascii="AcadNusx" w:hAnsi="AcadNusx"/>
                <w:sz w:val="20"/>
                <w:szCs w:val="20"/>
              </w:rPr>
            </w:pPr>
            <w:r w:rsidRPr="00B846C0">
              <w:rPr>
                <w:rFonts w:ascii="Sylfaen" w:hAnsi="Sylfaen"/>
                <w:sz w:val="20"/>
                <w:szCs w:val="20"/>
              </w:rPr>
              <w:t>ტურიზმის სფერო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სათვის</w:t>
            </w:r>
            <w:r w:rsidRPr="00B846C0">
              <w:rPr>
                <w:rFonts w:ascii="Sylfaen" w:hAnsi="Sylfaen"/>
                <w:sz w:val="20"/>
                <w:szCs w:val="20"/>
              </w:rPr>
              <w:t>.</w:t>
            </w:r>
          </w:p>
          <w:p w:rsidR="00B846C0" w:rsidRPr="00B846C0" w:rsidRDefault="00B846C0" w:rsidP="00B846C0">
            <w:pPr>
              <w:numPr>
                <w:ilvl w:val="0"/>
                <w:numId w:val="9"/>
              </w:numPr>
              <w:spacing w:after="0" w:line="240" w:lineRule="auto"/>
              <w:ind w:right="-720"/>
              <w:jc w:val="both"/>
              <w:rPr>
                <w:rFonts w:ascii="AcadNusx" w:hAnsi="AcadNusx"/>
                <w:sz w:val="20"/>
                <w:szCs w:val="20"/>
              </w:rPr>
            </w:pPr>
            <w:r w:rsidRPr="00B846C0">
              <w:rPr>
                <w:rFonts w:ascii="Sylfaen" w:hAnsi="Sylfaen"/>
                <w:sz w:val="20"/>
                <w:szCs w:val="20"/>
              </w:rPr>
              <w:t>სწავლების შემდეგი საფეხურ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846C0">
              <w:rPr>
                <w:rFonts w:ascii="Sylfaen" w:hAnsi="Sylfaen"/>
                <w:sz w:val="20"/>
                <w:szCs w:val="20"/>
              </w:rPr>
              <w:t>სათვის მომზადება. (დოქტურანტურა).</w:t>
            </w:r>
          </w:p>
        </w:tc>
      </w:tr>
      <w:tr w:rsidR="00761D47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935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935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B846C0" w:rsidRPr="00B846C0" w:rsidRDefault="00761D47" w:rsidP="006858BC">
            <w:pPr>
              <w:spacing w:after="0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290E4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788" w:rsidRDefault="00B846C0" w:rsidP="00074788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7478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 xml:space="preserve">მაგისტრს </w:t>
            </w:r>
            <w:r w:rsidR="00074788" w:rsidRPr="0007478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აქვს</w:t>
            </w:r>
            <w:r w:rsidRPr="0007478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- </w:t>
            </w:r>
            <w:r w:rsidRPr="00074788">
              <w:rPr>
                <w:rFonts w:ascii="Sylfaen" w:hAnsi="Sylfaen" w:cs="Sylfaen"/>
                <w:sz w:val="20"/>
                <w:szCs w:val="20"/>
                <w:lang w:val="ka-GE"/>
              </w:rPr>
              <w:t>ღრმა</w:t>
            </w:r>
            <w:r w:rsidRPr="00074788">
              <w:rPr>
                <w:rFonts w:ascii="Sylfaen" w:hAnsi="Sylfaen"/>
                <w:sz w:val="20"/>
                <w:szCs w:val="20"/>
                <w:lang w:val="ka-GE"/>
              </w:rPr>
              <w:t xml:space="preserve"> და სისტემური ცოდნა: </w:t>
            </w:r>
          </w:p>
          <w:p w:rsidR="00B846C0" w:rsidRPr="00074788" w:rsidRDefault="00B846C0" w:rsidP="00074788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74788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საველე</w:t>
            </w:r>
            <w:r w:rsidRPr="00074788">
              <w:rPr>
                <w:rFonts w:ascii="Sylfaen" w:hAnsi="Sylfaen"/>
                <w:sz w:val="20"/>
                <w:szCs w:val="20"/>
                <w:lang w:val="ka-GE"/>
              </w:rPr>
              <w:t xml:space="preserve"> არქეოლოგიური კვლევის მეთოდიკასა და საქართველოს არქეოლოგიაში (ანტიკური ეპოქის </w:t>
            </w:r>
            <w:r w:rsidRPr="00074788">
              <w:rPr>
                <w:rFonts w:ascii="Sylfaen" w:hAnsi="Sylfaen"/>
                <w:sz w:val="20"/>
                <w:szCs w:val="20"/>
              </w:rPr>
              <w:t xml:space="preserve">და ადრებიზანტიური ხანის </w:t>
            </w:r>
            <w:r w:rsidRPr="00074788">
              <w:rPr>
                <w:rFonts w:ascii="Sylfaen" w:hAnsi="Sylfaen"/>
                <w:sz w:val="20"/>
                <w:szCs w:val="20"/>
                <w:lang w:val="ka-GE"/>
              </w:rPr>
              <w:t xml:space="preserve">არქეოლოგიური ძეგლების შესახებ); ეგეოსური სამყაროს ისტორიასა, არქეოლოგიასა და კულტურაში; ბერძნული და რომაული სამყაროს არქეოლოგიასა და ხელოვნებაში;  ბიზანტიურ ცივილიზაციაში; ანტიკური ქვეყნების ისტორიასა და ეთნოლოგიაში; ანტიკური ხანის საქართველოს საომარ ხელოვნებაში; საქართველოს სოციოკულტურულ დინამიკასა და ეთნოლოგიაში; არქეოლოგიურ წყაროებში; ანტიკური ლიტერატურის პოეტიკაში და ენათმეცნიერებაში; ძველ ბერძნულ და ლათინურ ენებში; ერთ-ერთ უცხო (ინგლისურ, გერმანულ, ფრანგულ, რუსულ) ენაში; ინფორმაციულ ტექნოლოგიებში; სამეცნიერო წერის საფუძვლებში. </w:t>
            </w:r>
          </w:p>
          <w:p w:rsidR="00B846C0" w:rsidRPr="00B846C0" w:rsidRDefault="00B846C0" w:rsidP="00B846C0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B846C0" w:rsidRDefault="00B846C0" w:rsidP="00B846C0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</w:t>
            </w:r>
            <w:r w:rsidR="0007478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07478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შეძლებს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 </w:t>
            </w:r>
          </w:p>
          <w:p w:rsidR="00B846C0" w:rsidRPr="00B846C0" w:rsidRDefault="00B846C0" w:rsidP="00B846C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 w:cs="Sylfaen"/>
                <w:sz w:val="20"/>
                <w:szCs w:val="20"/>
                <w:lang w:val="ka-GE"/>
              </w:rPr>
              <w:t>დარგის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წყაროთმცოდნეობითი ბაზის და სამეცნიერო ლიტერატურის განხილვა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და შეფასება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სამეცნიერო-კვლევითი მუშაობის ინტერდისციპლინარული მეთოდების მეშვეობით. სამეცნიერო ნაშრომის წერის პრინციპების და მათი გაფორმების წესების გამოყენება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. ინფორმაციის კლასიფიკაცია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, ფაქტების შეჯერება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და არგუმენტაცია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B846C0" w:rsidRPr="00B846C0" w:rsidRDefault="00B846C0" w:rsidP="00B846C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საქართველოს სხვადასხვა ეპოქის არქეოლოგიური ძეგლების გამორჩევა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</w:p>
          <w:p w:rsidR="00B846C0" w:rsidRDefault="00B846C0" w:rsidP="00B846C0">
            <w:pPr>
              <w:pStyle w:val="ListParagraph"/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აღწერა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. მათი ქრონოლოგიური და კულტურული კუთვნილების განსაზღვრა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. ასევე მათგან ცალკეული ელემენტების გამოკვეთა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და შეფასება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. არქეოლოგიური წყაროების სახეობების გარჩევა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, მათი შემადგენლობის და დამზადების ტექნიკის განსაზღვრა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, კლასიფიკაცია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. ისტორიული წყაროების გამოყენება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მათ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ანალიზსა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და შეფასება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B846C0" w:rsidRPr="00B846C0" w:rsidRDefault="00B846C0" w:rsidP="00B846C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ანტიკური და ბიზანტიური ცივილიზაციების  გავლენის განსაზღვრა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ქართული კულტურის განვითარებაზე და თავის მხრივ ქართული ცივილიზაციის როლის გააზრება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ევროპის კულტურულ სივრცეში. ანტიკური ქვეყნების ისტორიის რაობის გააზრება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და ისტორიული პროცესის განვითარების კანონზომიერების ფლობა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B846C0" w:rsidRPr="00B846C0" w:rsidRDefault="00B846C0" w:rsidP="00B846C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კლასიკური ენების და ლიტერატურის  მნიშვნელობის გაცნობიერება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ანტიკური და ზოგადსაკაცობრიო კულტურული მემკვიდრეობის განვითარებაში.</w:t>
            </w:r>
          </w:p>
          <w:p w:rsidR="00B846C0" w:rsidRPr="00B846C0" w:rsidRDefault="00B846C0" w:rsidP="00B846C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განხილვა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ანტიკური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ცივილიზაციის </w:t>
            </w:r>
            <w:r w:rsidRPr="00B846C0">
              <w:rPr>
                <w:rFonts w:ascii="Sylfaen" w:hAnsi="Sylfaen"/>
                <w:sz w:val="20"/>
                <w:szCs w:val="20"/>
              </w:rPr>
              <w:t>მსოფლმხედველობრივ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საფუძვლებ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სა და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მისი განვითარების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კანონზომიერებები</w:t>
            </w:r>
            <w:r w:rsidRPr="00B846C0">
              <w:rPr>
                <w:rFonts w:ascii="Sylfaen" w:hAnsi="Sylfaen"/>
                <w:sz w:val="20"/>
                <w:szCs w:val="20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ა.  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ანტიკური არქეტიპისათვის შესაბამისი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ფილოლოგიური</w:t>
            </w:r>
            <w:r w:rsidRPr="00B846C0">
              <w:rPr>
                <w:sz w:val="20"/>
                <w:szCs w:val="20"/>
              </w:rPr>
              <w:t xml:space="preserve">,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ისტორიული</w:t>
            </w:r>
            <w:r w:rsidRPr="00B846C0">
              <w:rPr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B846C0">
              <w:rPr>
                <w:sz w:val="20"/>
                <w:szCs w:val="20"/>
              </w:rPr>
              <w:t xml:space="preserve"> 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ზოგადად</w:t>
            </w:r>
            <w:r w:rsidRPr="00B846C0">
              <w:rPr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კულტუროლოგიური</w:t>
            </w:r>
            <w:r w:rsidRPr="00B846C0">
              <w:rPr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ხასიათის</w:t>
            </w:r>
            <w:r w:rsidRPr="00B846C0">
              <w:rPr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კომენტარების გაკეთება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Pr="00B846C0">
              <w:rPr>
                <w:rFonts w:ascii="Sylfaen" w:hAnsi="Sylfaen"/>
                <w:sz w:val="20"/>
                <w:szCs w:val="20"/>
              </w:rPr>
              <w:t>სიძველეთმცოდნეობითი სამეცნიერო ტერმინოლოგიური აპარატით ოპერირებ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B846C0" w:rsidRPr="00B846C0" w:rsidRDefault="00B846C0" w:rsidP="004917C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მოპოვებული არქეოლოგიური მასალების კვლევისას წარმოქმნილი ამოცანების გამოკვეთა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. ახალი იდეების შემუშავების გზით მის წინაშე წარმოქმნილი ცალკეული სამეცნიერო პრობლემების არსში გარკვევა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და მათი გადაჭრის გზების გაცნობიერება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17CA" w:rsidRDefault="00074788" w:rsidP="00B11597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მაგისტრი</w:t>
            </w:r>
            <w:r w:rsidR="004917CA" w:rsidRPr="004917C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შეძლებს</w:t>
            </w:r>
            <w:r w:rsidR="004917CA" w:rsidRPr="004917C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  <w:p w:rsidR="004917CA" w:rsidRPr="00074788" w:rsidRDefault="004917CA" w:rsidP="00074788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917CA">
              <w:rPr>
                <w:rFonts w:ascii="Sylfaen" w:hAnsi="Sylfaen"/>
                <w:sz w:val="20"/>
                <w:szCs w:val="20"/>
                <w:lang w:val="ka-GE"/>
              </w:rPr>
              <w:t>არქეოლოგიური ძეგლების და მასალების  დამოუკიდებელი კვლევა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4917CA">
              <w:rPr>
                <w:rFonts w:ascii="Sylfaen" w:hAnsi="Sylfaen"/>
                <w:sz w:val="20"/>
                <w:szCs w:val="20"/>
                <w:lang w:val="ka-GE"/>
              </w:rPr>
              <w:t xml:space="preserve"> უახლესი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74788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074788">
              <w:rPr>
                <w:rFonts w:ascii="Sylfaen" w:hAnsi="Sylfaen"/>
                <w:sz w:val="20"/>
                <w:szCs w:val="20"/>
                <w:lang w:val="ka-GE"/>
              </w:rPr>
              <w:t xml:space="preserve"> და მიდგომების გამოყენებით. წარმოქმნილი </w:t>
            </w:r>
            <w:r w:rsidRPr="0007478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კომპლექსური პრობლემების გადაწყვეტა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074788">
              <w:rPr>
                <w:rFonts w:ascii="Sylfaen" w:hAnsi="Sylfaen"/>
                <w:sz w:val="20"/>
                <w:szCs w:val="20"/>
                <w:lang w:val="ka-GE"/>
              </w:rPr>
              <w:t xml:space="preserve"> ინტერდისციპლინარული ცოდნისა და დარგობრივი კომპეტენციების გამოყენებით. </w:t>
            </w:r>
          </w:p>
          <w:p w:rsidR="004917CA" w:rsidRPr="00A45D22" w:rsidRDefault="004917CA" w:rsidP="00A45D2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არქეოლოგიურ ძეგლებზე მოპოვებული არქეოლოგიური მასალის ქრონოლოგიური და კულტურული კუთვნილების განსაზღვრა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. ადგილობრივი და უცხოური არტეფაქტების  გამოყოფა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 და კლასიფიცირება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, გამოკვლევა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 და თეორიულ ცოდნასთან დაკავშირება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. რესტავრაცია-კონსერვაციის მეთოდების გამოყენება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917CA" w:rsidRPr="00A45D22" w:rsidRDefault="004917CA" w:rsidP="00A45D2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45D22">
              <w:rPr>
                <w:rFonts w:ascii="Sylfaen" w:hAnsi="Sylfaen" w:cs="Sylfaen"/>
                <w:sz w:val="20"/>
                <w:szCs w:val="20"/>
              </w:rPr>
              <w:t>ანტიკური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კულტურის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აქტუალურ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საკითხთა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გააზრება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ანტიკურობასთან</w:t>
            </w:r>
            <w:r w:rsidRPr="00A45D22">
              <w:rPr>
                <w:sz w:val="20"/>
                <w:szCs w:val="20"/>
              </w:rPr>
              <w:t xml:space="preserve">,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ისე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კულტურულ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პლასტებთან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მიმართებაში</w:t>
            </w:r>
            <w:r w:rsidRPr="00A45D22">
              <w:rPr>
                <w:rFonts w:ascii="Sylfaen" w:hAnsi="Sylfaen" w:cs="Sylfaen"/>
                <w:sz w:val="20"/>
                <w:szCs w:val="20"/>
                <w:lang w:val="ka-GE"/>
              </w:rPr>
              <w:t>. ბერძენ-რომაელთა ეთნოსისადმი დამახასიათებელი ეთნიკური კულტურის ელემენტების გამოცნობა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4917CA" w:rsidRPr="00A45D22" w:rsidRDefault="004917CA" w:rsidP="00A45D2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სამეცნიერო ლიტერატურაზე მუშაობა - სპეციალური და მულტიდისციპლინარული სამეცნიერო ლიტერატურის კითხვა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, გააზრება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კრიტიკულ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 ათვისება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. ისტორიის წყაროს აღწერა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მის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 გადმოცემა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 ზეპირად და წერითი ფორმით. ასევე წარმოქმნილი სამეცნიერო პრობლემების გადაწყვეტის ახალი და ორიგინალური გზების ძიება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917CA" w:rsidRPr="00A45D22" w:rsidRDefault="004917CA" w:rsidP="00A45D2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მიღებული თეორიული და პრაქტიკული ცოდნისა და კვალიფიკაციის  საფუძველზე, კვლევის თანამედროვე მეთოდების გამოყენებით სტრუქტურულად გამართული საკურსო და სამაგისტრო ნაშრომის შექმნა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, მათ შორის საოფისე პროგრამების მეშვეობით. </w:t>
            </w:r>
          </w:p>
          <w:p w:rsidR="004917CA" w:rsidRPr="004740B3" w:rsidRDefault="004917CA" w:rsidP="00A45D2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45D22">
              <w:rPr>
                <w:rFonts w:ascii="Sylfaen" w:hAnsi="Sylfaen"/>
                <w:color w:val="000000"/>
                <w:sz w:val="20"/>
                <w:szCs w:val="20"/>
                <w:lang w:val="gl-ES"/>
              </w:rPr>
              <w:t>ტექსტების, სურათების, დიაგრამის, ანიმაციის საშუალებით საპრეზენტაციო დოკუმენტების შექმნ</w:t>
            </w:r>
            <w:r w:rsidRPr="00A45D2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ა</w:t>
            </w:r>
            <w:r w:rsidR="0007478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 საოფისე პროგრამების მონაცემების ურთიერთგაცვლა და ოპერაციული სისტემების საშუალებით დოკუმენტების ორგანიზაცია</w:t>
            </w:r>
            <w:r w:rsidR="0007478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და მართვა</w:t>
            </w:r>
            <w:r w:rsidR="0007478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</w:t>
            </w:r>
            <w:r w:rsidRPr="00A45D2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:rsidR="004917CA" w:rsidRPr="004740B3" w:rsidRDefault="004917CA" w:rsidP="004740B3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ბერძნული და ლათინურენოვანი წყაროების გამოყენება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Pr="004740B3">
              <w:rPr>
                <w:rFonts w:ascii="Sylfaen" w:hAnsi="Sylfaen" w:cs="Sylfaen"/>
                <w:noProof/>
                <w:sz w:val="20"/>
                <w:szCs w:val="20"/>
              </w:rPr>
              <w:t>ავთენტური ტექსტების შერჩევა, თარგმნა,</w:t>
            </w:r>
            <w:r w:rsidRPr="004740B3">
              <w:rPr>
                <w:rFonts w:ascii="Sylfaen" w:hAnsi="Sylfaen" w:cs="Sylfaen"/>
                <w:sz w:val="20"/>
                <w:szCs w:val="20"/>
              </w:rPr>
              <w:t xml:space="preserve"> დამუშავება და კომენტირება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4740B3">
              <w:rPr>
                <w:rFonts w:ascii="Sylfaen" w:hAnsi="Sylfaen" w:cs="Sylfaen"/>
                <w:sz w:val="20"/>
                <w:szCs w:val="20"/>
              </w:rPr>
              <w:t xml:space="preserve"> ლექსიკონები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ა და მონაცემთა ბაზი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 გამოყენება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C307BD" w:rsidRPr="004740B3" w:rsidRDefault="004917CA" w:rsidP="00B11597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</w:rPr>
              <w:t>სასწავლო კურსის ფარგლებში საკვლევი საკითხის განსაზღვრა, სამეცნიერო მასალის მოძიება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/>
                <w:sz w:val="20"/>
                <w:szCs w:val="20"/>
              </w:rPr>
              <w:t>,  სისტემატიზაცია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და </w:t>
            </w:r>
            <w:r w:rsidR="00074788">
              <w:rPr>
                <w:rFonts w:ascii="Sylfaen" w:hAnsi="Sylfaen"/>
                <w:sz w:val="20"/>
                <w:szCs w:val="20"/>
              </w:rPr>
              <w:t>ანალიზ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. სამუზეუმო და საარქივო ფონდებზე მუშაობა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740B3" w:rsidRDefault="00074788" w:rsidP="00B11597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მაგისტრი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შეძლებს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შესწავლილი მასალის საფუძველზე კვლევის წარმართვა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საკვლევი პრობლემის შესაბამისი წერილობითი და ნივთიერი წყაროების მოძიებისა და მათი დამოუკიდებელი დამუშავების გზით მოპოვებული რთული და არასრული ინფორმაციის კრიტიკული ანალიზის საფუძველზე დასაბუთებული დასკვნების ჩამოყალიბება.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მსოფ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ლიო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არქეოლოგიური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პრო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ცე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სის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ზო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გა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="00074788">
              <w:rPr>
                <w:rFonts w:ascii="Sylfaen" w:hAnsi="Sylfaen" w:cs="Sylfaen"/>
                <w:sz w:val="20"/>
                <w:szCs w:val="20"/>
              </w:rPr>
              <w:t>დ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გა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აზ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რე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ამ პროცეს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ში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ქარ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თვე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ლოს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არქეოლოგიური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რე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ალ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ობ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ის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ჩვე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ნე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ანტიკური ცივილიზაციების, საქართველოს</w:t>
            </w:r>
            <w:r w:rsidRPr="004740B3">
              <w:rPr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არქეოლოგიური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მემ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კვიდ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რე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ობ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ის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და უახლესი აღმოჩენების 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ლოგიკურ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ალ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ი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="00074788">
              <w:rPr>
                <w:rFonts w:ascii="Sylfaen" w:hAnsi="Sylfaen" w:cs="Sylfaen"/>
                <w:sz w:val="20"/>
                <w:szCs w:val="20"/>
              </w:rPr>
              <w:t>ზ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. მიღებული სამეცნიერო ინფორმაციის ინოვაციური სინთეზის მეშვეობით </w:t>
            </w:r>
            <w:r w:rsidRPr="004740B3">
              <w:rPr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კუ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თა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რი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დაკ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ვირ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ვე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ბე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ბის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წე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რი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ლო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ბი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თი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ზე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პი</w:t>
            </w:r>
            <w:r w:rsidRPr="004740B3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4740B3">
              <w:rPr>
                <w:rFonts w:ascii="Sylfaen" w:hAnsi="Sylfaen" w:cs="Sylfaen"/>
                <w:sz w:val="20"/>
                <w:szCs w:val="20"/>
              </w:rPr>
              <w:t>რი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სახით ჩამოყალიბება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 სამეცნიერო პრობლემათა გადაჭრის გზების მოძიება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საკუთარი გადაწყვეტილებების არგუმენტირება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</w:p>
          <w:p w:rsidR="004740B3" w:rsidRPr="004740B3" w:rsidRDefault="004740B3" w:rsidP="00B11597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საკამათო საკითხებზე დისკუსიისათვის თანმიმდევრული და ლოგიკური 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არგუმენტების მკაფიოდ ფორმულირება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, განზოგადება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სინთეზირება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საკუთარი კვლევის ინტერესების და მიზნების შესაბამისად.</w:t>
            </w: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Default="00074788" w:rsidP="004740B3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მაგისტრი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შეძლებს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მშობლიურ და უცხოურ ენაზე (უპირატესად ინგლისური) თავისი დასკვნების, არგუმენტაციის და კვლევის მეთოდების კომუნიკაცია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დარგისა და მომიჯნავე სფეროს აკადემიურ თუ პროფესიულ საზოგადოებაში სპეციალური ტერმინოლოგიის და თანამედროვე საინფორმაციო-საკომუნიკაციო ტექნოლოგიების გამოყენებით.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სამეცნიერო შეხედულებების, მოსაზრებების, დასკვნების და არგუმენტების, კვლევის შედეგების ნარატიული ფორმით გადმოცემა და ზეპირი პრეზენტაცია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საქმიანობის სფეროში სამეცნიერო დისკუსიაში და დებატებში მონაწილეობა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 კამათში ეთიკური ნორმების გამოყენებით საკუთარი სამეცნიერო შეხედულებების დაცვა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არგუმენტირება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კვლევისათვის შესაბამისი ინფორმაციული წყაროების (მათ შორის ინტერნეტ-რესურსების) აღმოჩენა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გამოყენება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სამეცნიერო და სასწავლო პროცესში. საკუთარი და სხვისი კვლევის შედეგების სწორად კომენტირება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, ანოტირება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, რედაქტირება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შეფასება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აკადემიური პატიოსნების სტანდარტების დაცვით.</w:t>
            </w:r>
          </w:p>
        </w:tc>
      </w:tr>
      <w:tr w:rsidR="009D7832" w:rsidRPr="006858BC" w:rsidTr="00935093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740B3" w:rsidRDefault="00074788" w:rsidP="004740B3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მაგისტრი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შეძლებს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შეძენილი ცოდნისა და უნარ-ჩვევების საფუძველზე სწავლის დამოუკიდებლად წარმართვა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ახალი სამეცნიერო-სასწავლო ინფორმაციის მოპოვება, შეთვისება და. ადეკვატურად გამოყენება. სამეცნიერო ბრუნვაში შემოსული ახალი სამეცნიერო მასალების გაცნობა-დამუშავება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 ახალი მეთოდების შესწავლა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გამოყენება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დამოუკიდებელი მუშაობისათვის გამოყოფილი დროის 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სწორი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მენეჯმენტის განხორცილებას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არქეოლოგიის და მომიჯნავე სფეროებში თითოეული დისციპლინის სწავლის პროცესის თავისებურებების გაცნობიერება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 მათ დასაუფლებლად შესაბამისი სტრატეგიის მაღალ დონეზე დაგეგმვა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შესაბამისი მეთოდოლოგიის შერჩევა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ცოდნისა და კომპეტენციების ობიექტურად შეფასება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გაანალიზება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9D7832" w:rsidRPr="004740B3" w:rsidRDefault="004740B3" w:rsidP="004740B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ინტერესების და საკვლევი მიმართულების განსაზღვრა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 კვლევითი ნაშრომის (საკურსო და სამაგისტრო) დაგეგმვა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, ამოცანების განსაზღვრა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შესრულება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9D7832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740B3" w:rsidRDefault="004740B3" w:rsidP="004740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ქვეყნის ისტორიის და კულტურისადმი პატივისცემა, პატრიოტიზმი და ეროვნული სიამაყე.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საკაცობრიო ცივილიზაციის მიღწევათა გაზიარება და ფასეულებათა სისტემის აღიარება.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ტოლერანტული დამოკიდებულება ეროვნული, ეთნიკური, რელიგიური, კულტურული და პოლიტიკური უმცირესობების მიმართ.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ეთიკის პატივისცემა და მის ფორმირებაში მონაწილეობა. აკადემიური პატიოსნების პრინციპების დაცვა.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საკაცობრიო და პროფესიული ღირებულებისადმი თავისი და სხვების დამოკიდებულებების სწორად შეფასება. საკუ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თ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არი პასუხიმგებლობის 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გაცნობიერება საზოგადოების წინაშე.</w:t>
            </w:r>
          </w:p>
          <w:p w:rsidR="009D7832" w:rsidRPr="004740B3" w:rsidRDefault="004740B3" w:rsidP="00B11597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არქეოლოგიასა და ანტიკურ ცივილიზაციებში შეძენილი თეორიული ცოდნის პრაქტიკული გამოყენების საფუძველზე ახალი ღირებულებების დამკვიდრებაში წვლილის შეტანა.</w:t>
            </w: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სწავლების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ვერბალური (ზეპირი </w:t>
            </w:r>
            <w:r w:rsidRPr="004740B3">
              <w:rPr>
                <w:rFonts w:ascii="Sylfaen" w:hAnsi="Sylfaen"/>
                <w:b/>
                <w:sz w:val="20"/>
                <w:szCs w:val="20"/>
              </w:rPr>
              <w:t>პრეზენტაცია</w:t>
            </w:r>
            <w:r w:rsidRPr="004740B3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-  გამოიყენება პროფესორის მიერ მასალის გადაცემისას  და სტუდენტის მიერ პრაქტიკული მუშაობისას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ის ხელს უწყობს  სტუდენტში მოსმენის უნარის განვითარებას და თეორიული ინფორმაციის ათვისების გაადვილებას.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sz w:val="20"/>
                <w:szCs w:val="20"/>
                <w:lang w:val="ka-GE"/>
              </w:rPr>
              <w:t>ვიზუალური დემონსტრირება -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გამოიყენება პროფესორის მიერ სასწავლო მასალის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გადაცემისას და სტუდენტის მიერ პრაქტიკული მუშაობისას.  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საილუსტრაციო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</w:rPr>
              <w:t>მასალის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</w:rPr>
              <w:t>(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ფოტომასალა, </w:t>
            </w:r>
            <w:r w:rsidRPr="004740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ცხრილები, ნახაზები</w:t>
            </w:r>
            <w:r w:rsidRPr="004740B3">
              <w:rPr>
                <w:rFonts w:ascii="Sylfaen" w:hAnsi="Sylfaen"/>
                <w:sz w:val="20"/>
                <w:szCs w:val="20"/>
              </w:rPr>
              <w:t>)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</w:rPr>
              <w:t>დემონსტრირებ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ა დაფის, ტექნიკური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საშუალებების, კომპიუტერის გამოყენებით -  ხელს   უწყობს სასწავლო მასალის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აღქმას თვასაჩინოების სხვადასხვა საფეხურის </w:t>
            </w:r>
            <w:r w:rsidRPr="004740B3">
              <w:rPr>
                <w:rFonts w:ascii="Sylfaen" w:hAnsi="Sylfaen"/>
                <w:sz w:val="20"/>
                <w:szCs w:val="20"/>
              </w:rPr>
              <w:t>მეშვეო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ბით;  ვიზუალურად წარმოაჩენს საკითხის არსს; აადვილებს თეორიული ინფორმაციის ათვისებას.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sz w:val="20"/>
                <w:szCs w:val="20"/>
              </w:rPr>
              <w:t>დისკუსია</w:t>
            </w:r>
            <w:r w:rsidRPr="004740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ეხმარება სტუდენტს გამოიმუშავოს საკუთარი აზრის ჩამოყალიბების და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დასაბუთების უნარი;  ზრდის სასწავლო პროცესში სტუდენტის ჩართულობას; გამოუმუშავებს სტუდენტებს კამათის და დებატების ჩვევებს; ხელს უწყობს  შესასწავლი მასალის გააზრება-გაცნობიერებას.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sz w:val="20"/>
                <w:szCs w:val="20"/>
                <w:lang w:val="ka-GE"/>
              </w:rPr>
              <w:t>წიგნზე მუშაობა -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მოიცავს ლექციაზე, პრაქტიკული და სტუდენტის </w:t>
            </w:r>
            <w:r w:rsidRPr="004740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დამოუკიდებელი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მუშაობისას</w:t>
            </w:r>
            <w:r w:rsidRPr="004740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და სამეცნიერო ლიტერატურის და  წერილობითი </w:t>
            </w:r>
            <w:r w:rsidRPr="004740B3">
              <w:rPr>
                <w:rFonts w:ascii="Sylfaen" w:hAnsi="Sylfaen"/>
                <w:sz w:val="20"/>
                <w:szCs w:val="20"/>
              </w:rPr>
              <w:t>წყაროების კითხვა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ს.  ანვითარებს სათანადო  მასალების   მოპოვების ჩვევას; ხელს უწყობს მასალის ათვისება-გააზრების უნარის ჩამოყალიბებას. 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წერითი მუშაობა -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გამოიყენება სტუდენტის მიერ  და  გულისხმობს შემდეგი სახის აქტივობებს: საჭირო მასალების მოძიება და ჩანაწერების გაკეთება, სასწავლო და საპრეზენტაციო საკითხების დაკონსპექტება, თეზისების და რეფერატის შედგენა.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bCs/>
                <w:sz w:val="20"/>
                <w:szCs w:val="20"/>
              </w:rPr>
              <w:t>პრობლემაზე დაფუძნებული სწავლება (PBL)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- სასწავლო მეთოდი, რომელიც ახალი ცოდნის მიღების და ინტეგრაციის პროცესის საწყის ეტაპად იყენებს პრობლემას.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bCs/>
                <w:sz w:val="20"/>
                <w:szCs w:val="20"/>
              </w:rPr>
              <w:t>ევრისტიკული მეთოდი –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ეფუძნება სტუდენტების წინაშე დასმული ამოცანის ეტაპობრივ გადაწყვეტას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, რომელიც </w:t>
            </w:r>
            <w:r w:rsidRPr="004740B3">
              <w:rPr>
                <w:rFonts w:ascii="Sylfaen" w:hAnsi="Sylfaen"/>
                <w:sz w:val="20"/>
                <w:szCs w:val="20"/>
              </w:rPr>
              <w:t>ხორციელდება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სწავლების პროცესში ფაქტების დამოუკიდებლად დაფიქსირებისა და მათ შორის კავშირების დანახვის გზით.  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bCs/>
                <w:sz w:val="20"/>
                <w:szCs w:val="20"/>
              </w:rPr>
              <w:t>გონებრივი იერიში (Brain storming) -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ეს მეთოდი გულისხმობს კონკრეტული თემის ფარგლებში 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რომელიმე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საკითხის/პრობლემის შესახებ  მაქსიმალურად მეტი, სასურველია განსხვავებული, აზრის, იდეის ჩამოყალიბებას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ხელს უწყობს პრობლემისადმი შემოქმედებითი მიდგომის განვითარებას. 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bCs/>
                <w:sz w:val="20"/>
                <w:szCs w:val="20"/>
              </w:rPr>
              <w:t xml:space="preserve">ინდუქციური მეთოდი </w:t>
            </w:r>
            <w:r w:rsidRPr="004740B3">
              <w:rPr>
                <w:rFonts w:ascii="Sylfaen" w:hAnsi="Sylfaen"/>
                <w:sz w:val="20"/>
                <w:szCs w:val="20"/>
              </w:rPr>
              <w:t>განსაზღვრავს  ცოდნი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4740B3">
              <w:rPr>
                <w:rFonts w:ascii="Sylfaen" w:hAnsi="Sylfaen"/>
                <w:sz w:val="20"/>
                <w:szCs w:val="20"/>
              </w:rPr>
              <w:t>ისეთ ფორმას, როდესაც სწავლის პროცესში მასალის გადმოცემისას პროცესი მიმდინარეობს კონკრეტულიდან ზოგადისაკენ.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bCs/>
                <w:sz w:val="20"/>
                <w:szCs w:val="20"/>
              </w:rPr>
              <w:t>დედუქციური მეთოდი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განსაზღვრავს ცოდნის გადაცემის ისეთ ფორმას, რომელიც ზოგად ცოდნაზე დაყრდნობით ახალი ცოდნის აღმოჩენის ლოგიკურ პროცესს წარმოადგენს, ანუ პროცესი მიმდინარეობს ზოგადიდან კონკრეტულისაკენ.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bCs/>
                <w:sz w:val="20"/>
                <w:szCs w:val="20"/>
              </w:rPr>
              <w:t xml:space="preserve">ანალიზის მეთოდი </w:t>
            </w:r>
            <w:r w:rsidRPr="004740B3">
              <w:rPr>
                <w:rFonts w:ascii="Sylfaen" w:hAnsi="Sylfaen"/>
                <w:sz w:val="20"/>
                <w:szCs w:val="20"/>
              </w:rPr>
              <w:t>გვეხმარება სასწავლო მასალის, როგორც ერთი მთლიანის, შემადგენელ ნაწილებად დაშლაში, ამით მარტივდება რთული პრობლების შიგნით არსებული ცალკეული საკითხების დეტალური გაშუქება.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b/>
                <w:bCs/>
                <w:sz w:val="20"/>
                <w:szCs w:val="20"/>
              </w:rPr>
              <w:t>სინთეზის მეთოდი გულისხმობს შებრუნებულ პროცედურას,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ანუ ცალკეული საკითხების დაჯგუფებით ერთი მთლიანის შედგენას.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740B3">
              <w:rPr>
                <w:rFonts w:ascii="Sylfaen" w:hAnsi="Sylfaen"/>
                <w:sz w:val="20"/>
                <w:szCs w:val="20"/>
              </w:rPr>
              <w:t>ეს მეთოდი ხელს უწყობს  პრობლების, როგორც მთელის დანახვის უნარის განვითარე</w:t>
            </w:r>
            <w:r w:rsidRPr="004740B3">
              <w:rPr>
                <w:rFonts w:ascii="Sylfaen" w:hAnsi="Sylfaen"/>
              </w:rPr>
              <w:t xml:space="preserve">ბას.  </w:t>
            </w:r>
          </w:p>
          <w:p w:rsidR="009D7832" w:rsidRPr="00935093" w:rsidRDefault="009D7832" w:rsidP="00B1159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740B3" w:rsidRDefault="004740B3" w:rsidP="004740B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არქეოლოგია და ანტიკური ცივილიზაციების სამაგისტრო პროგრამა მოიცავს 120 კრედიტს. 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სავალდებულო  კურსები -  </w:t>
            </w:r>
            <w:r w:rsidRPr="004740B3">
              <w:rPr>
                <w:rFonts w:ascii="Sylfaen" w:hAnsi="Sylfaen"/>
                <w:sz w:val="20"/>
                <w:szCs w:val="20"/>
              </w:rPr>
              <w:t>55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არჩევითი კურსები -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30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 კრედიტი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საკურსო ნაშრომი - 5 კრედიტი</w:t>
            </w:r>
          </w:p>
          <w:p w:rsidR="004740B3" w:rsidRPr="00290E48" w:rsidRDefault="004740B3" w:rsidP="00B1159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სამაგისტრო ნაშრომი - 30 კრედიტი</w:t>
            </w:r>
          </w:p>
          <w:p w:rsidR="009D7832" w:rsidRPr="00935093" w:rsidRDefault="009D7832" w:rsidP="00B1159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9D7832" w:rsidRPr="00290E48" w:rsidRDefault="009D7832" w:rsidP="00B1159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49A" w:rsidRPr="00956088" w:rsidRDefault="0027649A" w:rsidP="0027649A">
            <w:pPr>
              <w:jc w:val="both"/>
              <w:rPr>
                <w:rFonts w:ascii="Sylfaen" w:hAnsi="Sylfaen" w:cs="Arial"/>
                <w:bCs/>
                <w:noProof/>
                <w:lang w:val="ka-GE"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 xml:space="preserve">სტუდენტთა მიღწევების შეფასება ხდება </w:t>
            </w:r>
            <w:r w:rsidRPr="00956088">
              <w:rPr>
                <w:rFonts w:ascii="Sylfaen" w:hAnsi="Sylfaen" w:cs="Arial"/>
                <w:bCs/>
                <w:noProof/>
              </w:rPr>
              <w:t xml:space="preserve">საქართველოს განათლებისა და მეცნიერების მინისტრის 2007 წლის 5 </w:t>
            </w:r>
            <w:r w:rsidRPr="00956088">
              <w:rPr>
                <w:rFonts w:ascii="Sylfaen" w:hAnsi="Sylfaen" w:cs="Arial"/>
                <w:bCs/>
                <w:noProof/>
              </w:rPr>
              <w:lastRenderedPageBreak/>
              <w:t xml:space="preserve">იანვრის №3 და </w:t>
            </w:r>
            <w:r w:rsidRPr="00956088">
              <w:rPr>
                <w:rFonts w:ascii="Sylfaen" w:hAnsi="Sylfaen"/>
                <w:noProof/>
              </w:rPr>
              <w:t xml:space="preserve">2016 წლის 18 აგვისტოს №102/ნ </w:t>
            </w:r>
            <w:r w:rsidRPr="00956088">
              <w:rPr>
                <w:rFonts w:ascii="Sylfaen" w:hAnsi="Sylfaen" w:cs="Arial"/>
                <w:bCs/>
                <w:noProof/>
              </w:rPr>
              <w:t>ბრძანებებით განსაზღვრული პუნქტების გათვალისწინებით:</w:t>
            </w:r>
          </w:p>
          <w:p w:rsidR="0027649A" w:rsidRPr="00956088" w:rsidRDefault="0027649A" w:rsidP="0027649A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27649A" w:rsidRPr="00956088" w:rsidRDefault="0027649A" w:rsidP="0027649A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27649A" w:rsidRPr="00956088" w:rsidRDefault="0027649A" w:rsidP="0027649A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ა) შუალედურ შეფასებას;</w:t>
            </w:r>
          </w:p>
          <w:p w:rsidR="0027649A" w:rsidRPr="00956088" w:rsidRDefault="0027649A" w:rsidP="0027649A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ბ) დასკვნითი გამოცდის შეფასებას.</w:t>
            </w:r>
          </w:p>
          <w:p w:rsidR="0027649A" w:rsidRPr="00956088" w:rsidRDefault="0027649A" w:rsidP="0027649A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სასწავლო კურსის მაქსიმალური შეფასება 100 ქულის ტოლია.</w:t>
            </w:r>
          </w:p>
          <w:p w:rsidR="0027649A" w:rsidRPr="00956088" w:rsidRDefault="0027649A" w:rsidP="0027649A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დასკვნითი გამოცდა არ უნდა შეფასდეს 40 ქულაზე მეტით.</w:t>
            </w:r>
          </w:p>
          <w:p w:rsidR="0027649A" w:rsidRPr="00956088" w:rsidRDefault="0027649A" w:rsidP="0027649A">
            <w:pPr>
              <w:pStyle w:val="abzacixml"/>
              <w:numPr>
                <w:ilvl w:val="0"/>
                <w:numId w:val="43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>
              <w:rPr>
                <w:noProof/>
                <w:color w:val="auto"/>
                <w:sz w:val="24"/>
                <w:szCs w:val="24"/>
                <w:u w:val="none"/>
                <w:lang w:val="en-US"/>
              </w:rPr>
              <w:t>8</w:t>
            </w: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 xml:space="preserve"> ქულას. </w:t>
            </w:r>
          </w:p>
          <w:p w:rsidR="0027649A" w:rsidRPr="00956088" w:rsidRDefault="0027649A" w:rsidP="0027649A">
            <w:pPr>
              <w:pStyle w:val="abzacixml"/>
              <w:spacing w:line="276" w:lineRule="auto"/>
              <w:ind w:left="720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27649A" w:rsidRPr="00956088" w:rsidRDefault="0027649A" w:rsidP="0027649A">
            <w:pPr>
              <w:pStyle w:val="abzacixml"/>
              <w:numPr>
                <w:ilvl w:val="0"/>
                <w:numId w:val="43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შეფასების სისტემა უშვებს:</w:t>
            </w:r>
          </w:p>
          <w:p w:rsidR="0027649A" w:rsidRPr="00956088" w:rsidRDefault="0027649A" w:rsidP="0027649A">
            <w:pPr>
              <w:ind w:left="720"/>
              <w:rPr>
                <w:rFonts w:ascii="Sylfaen" w:hAnsi="Sylfaen" w:cs="Sylfaen"/>
                <w:b/>
                <w:noProof/>
              </w:rPr>
            </w:pPr>
            <w:r w:rsidRPr="00956088">
              <w:rPr>
                <w:rFonts w:ascii="Sylfaen" w:hAnsi="Sylfaen" w:cs="Sylfaen"/>
                <w:b/>
                <w:noProof/>
              </w:rPr>
              <w:t>ხუთი სახის დადებით შეფასებას:</w:t>
            </w:r>
          </w:p>
          <w:p w:rsidR="0027649A" w:rsidRPr="00956088" w:rsidRDefault="0027649A" w:rsidP="0027649A">
            <w:pPr>
              <w:numPr>
                <w:ilvl w:val="0"/>
                <w:numId w:val="44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ფრიადი – შეფასების 91-100 ქულა;</w:t>
            </w:r>
          </w:p>
          <w:p w:rsidR="0027649A" w:rsidRPr="00956088" w:rsidRDefault="0027649A" w:rsidP="0027649A">
            <w:pPr>
              <w:numPr>
                <w:ilvl w:val="0"/>
                <w:numId w:val="44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ძალიან კარგი – მაქსიმალური შეფასების 81-90 ქულა;</w:t>
            </w:r>
          </w:p>
          <w:p w:rsidR="0027649A" w:rsidRPr="00956088" w:rsidRDefault="0027649A" w:rsidP="0027649A">
            <w:pPr>
              <w:numPr>
                <w:ilvl w:val="0"/>
                <w:numId w:val="44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კარგი – მაქსიმალური შეფასების 71-80 ქულა;</w:t>
            </w:r>
          </w:p>
          <w:p w:rsidR="0027649A" w:rsidRPr="00956088" w:rsidRDefault="0027649A" w:rsidP="0027649A">
            <w:pPr>
              <w:numPr>
                <w:ilvl w:val="0"/>
                <w:numId w:val="44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დამაკმაყოფილებელი – მაქსიმალური შეფასების 61-70 ქულა;</w:t>
            </w:r>
          </w:p>
          <w:p w:rsidR="0027649A" w:rsidRPr="00956088" w:rsidRDefault="0027649A" w:rsidP="0027649A">
            <w:pPr>
              <w:numPr>
                <w:ilvl w:val="0"/>
                <w:numId w:val="44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საკმარისი – მაქსიმალური შეფასების 51-60 ქულა.</w:t>
            </w:r>
          </w:p>
          <w:p w:rsidR="0027649A" w:rsidRPr="00956088" w:rsidRDefault="0027649A" w:rsidP="0027649A">
            <w:pPr>
              <w:ind w:left="720"/>
              <w:rPr>
                <w:rFonts w:ascii="Sylfaen" w:hAnsi="Sylfaen" w:cs="Sylfaen"/>
                <w:b/>
                <w:noProof/>
              </w:rPr>
            </w:pPr>
            <w:r w:rsidRPr="00956088">
              <w:rPr>
                <w:rFonts w:ascii="Sylfaen" w:hAnsi="Sylfaen" w:cs="Sylfaen"/>
                <w:b/>
                <w:noProof/>
              </w:rPr>
              <w:t>ორი სახის უარყოფით შეფასებას:</w:t>
            </w:r>
          </w:p>
          <w:p w:rsidR="0027649A" w:rsidRPr="00956088" w:rsidRDefault="0027649A" w:rsidP="0027649A">
            <w:pPr>
              <w:numPr>
                <w:ilvl w:val="0"/>
                <w:numId w:val="45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27649A" w:rsidRPr="00956088" w:rsidRDefault="0027649A" w:rsidP="0027649A">
            <w:pPr>
              <w:numPr>
                <w:ilvl w:val="0"/>
                <w:numId w:val="45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27649A" w:rsidRPr="00956088" w:rsidRDefault="0027649A" w:rsidP="0027649A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Arial"/>
                <w:noProof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27649A" w:rsidRPr="00956088" w:rsidRDefault="0027649A" w:rsidP="0027649A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27649A" w:rsidRPr="00956088" w:rsidRDefault="0027649A" w:rsidP="0027649A">
            <w:pPr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27649A" w:rsidRPr="005B5F27" w:rsidRDefault="0027649A" w:rsidP="0027649A">
            <w:pPr>
              <w:ind w:left="24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noProof/>
              </w:rPr>
              <w:t xml:space="preserve"> საკურსო და სამაგისტრო ნაშრომების შეფასების(</w:t>
            </w:r>
            <w:r>
              <w:rPr>
                <w:rFonts w:ascii="Sylfaen" w:hAnsi="Sylfaen" w:cs="Sylfaen"/>
              </w:rPr>
              <w:t>შეფას</w:t>
            </w:r>
            <w:r>
              <w:rPr>
                <w:rFonts w:ascii="Sylfaen" w:hAnsi="Sylfaen" w:cs="Sylfaen"/>
                <w:lang w:val="ka-GE"/>
              </w:rPr>
              <w:t>ება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მოხდება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ერთჯერადად</w:t>
            </w:r>
            <w:r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 xml:space="preserve">სისტემა გაწერილია </w:t>
            </w:r>
            <w:r>
              <w:rPr>
                <w:rFonts w:ascii="Sylfaen" w:hAnsi="Sylfaen" w:cs="Sylfaen"/>
                <w:noProof/>
              </w:rPr>
              <w:lastRenderedPageBreak/>
              <w:t>შესაბამის სილაბუსებში.</w:t>
            </w:r>
          </w:p>
          <w:p w:rsidR="001B18B1" w:rsidRPr="00290E48" w:rsidRDefault="001B18B1" w:rsidP="0027649A">
            <w:pPr>
              <w:pStyle w:val="ListParagraph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A32" w:rsidRPr="00210A32" w:rsidRDefault="004740B3" w:rsidP="00210A3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არქეოლოგია და ანტიკური ცივილიზაციების სამაგისტრო პროგრამა</w:t>
            </w:r>
            <w:r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კურსდამთავრებულს </w:t>
            </w:r>
            <w:r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აძლევს</w:t>
            </w:r>
            <w:r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დასაქმების </w:t>
            </w:r>
            <w:r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შესაძლებლობას </w:t>
            </w:r>
            <w:r w:rsidR="00210A32"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210A32">
              <w:rPr>
                <w:rFonts w:ascii="Sylfaen" w:hAnsi="Sylfaen"/>
                <w:sz w:val="20"/>
                <w:szCs w:val="20"/>
              </w:rPr>
              <w:t xml:space="preserve"> და ადგილობრივი არქეოლოგიური  ექსპედიციებ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</w:rPr>
              <w:t>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</w:rPr>
              <w:t>სამეცნიერო კვლევითი  ცენტრებ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</w:rPr>
              <w:t>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</w:rPr>
              <w:t>სხვადასხვა პროფილის მუზეუმებ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</w:rPr>
              <w:t>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</w:rPr>
              <w:t>ტურისტული ორგანიზაციებ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</w:rPr>
              <w:t>სასწავლო-სამეცნიერო დაწესებულებებ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</w:rPr>
              <w:t>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კულტურულ - საგანმანათლებლო პროგრამებ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კულტურული მემკვიდრეობის დაცვისა და პოპულარიზაციის პროგრამებ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210A32" w:rsidRDefault="004740B3" w:rsidP="004740B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/>
                <w:bCs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კულტურულ ფასეულობათა ექსპერტიზა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A32" w:rsidRPr="00210A32" w:rsidRDefault="00210A32" w:rsidP="00210A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b/>
                <w:bCs/>
                <w:sz w:val="20"/>
                <w:szCs w:val="20"/>
              </w:rPr>
              <w:t>პროგრამი</w:t>
            </w:r>
            <w:r w:rsidRPr="00210A3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 განხორციელებისათვის გამოყენებული იქნება შემდეგი  მატერიალური რესურსები  </w:t>
            </w:r>
            <w:r w:rsidRPr="00210A32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210A32">
              <w:rPr>
                <w:rFonts w:ascii="Sylfaen" w:hAnsi="Sylfaen"/>
                <w:bCs/>
                <w:sz w:val="20"/>
                <w:szCs w:val="20"/>
              </w:rPr>
              <w:t>სამეცნიერო კვლევების მატერიალურ-ტექნიკური ბაზა</w:t>
            </w:r>
            <w:r w:rsidRPr="00210A32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Pr="00210A32">
              <w:rPr>
                <w:rFonts w:ascii="Sylfaen" w:hAnsi="Sylfaen"/>
                <w:bCs/>
                <w:sz w:val="20"/>
                <w:szCs w:val="20"/>
              </w:rPr>
              <w:t>:</w:t>
            </w:r>
          </w:p>
          <w:p w:rsidR="00210A32" w:rsidRPr="00210A32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</w:rPr>
              <w:t xml:space="preserve">აწსუ 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ისტორია-</w:t>
            </w:r>
            <w:r w:rsidRPr="00210A32">
              <w:rPr>
                <w:rFonts w:ascii="Sylfaen" w:hAnsi="Sylfaen"/>
                <w:sz w:val="20"/>
                <w:szCs w:val="20"/>
              </w:rPr>
              <w:t>არქეოლოგი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 xml:space="preserve">ის </w:t>
            </w:r>
            <w:r w:rsidRPr="00210A32">
              <w:rPr>
                <w:rFonts w:ascii="Sylfaen" w:hAnsi="Sylfaen"/>
                <w:sz w:val="20"/>
                <w:szCs w:val="20"/>
              </w:rPr>
              <w:t>დეპარტამენტი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ს არქეოლოგიის და სიძველეთმცოდნეობის მიმართულება</w:t>
            </w:r>
            <w:r w:rsidRPr="00210A32">
              <w:rPr>
                <w:rFonts w:ascii="Sylfaen" w:hAnsi="Sylfaen"/>
                <w:sz w:val="20"/>
                <w:szCs w:val="20"/>
              </w:rPr>
              <w:t xml:space="preserve">. აწსუ სამეცნიერო  ბიბლიოთეკა, უნივერსიტეტის და ჰუმანიტარულ მეცნიერებათა ფაკულტეტის კომპიუტერული რესურს-ცენტრები. 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კეთილმოწყობილი კაბინეტ-აუდიტორიები, მათ შორის აკადემიკოს ოთარ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 xml:space="preserve">ლორთქიფანიძის სახელობის აუდიტორია. მიმართულების კომპიუტერული რესურს-ცენტრი (ინტერნეტში ჩართული სამი კომპიუტერი, შავი და ფერადი პრინტერი, სკანერი, ტელევიზორი). არქეოლოგიური მასალების ელექტრონული ბიბლიოთეკა. </w:t>
            </w:r>
          </w:p>
          <w:p w:rsidR="00210A32" w:rsidRPr="00210A32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</w:rPr>
              <w:t>აწსუ-სა და საქართველოს ეროვნული მუზეუმის ოთარ ლორთქიფანიძის არქეოლოგიის ცენტრის ერთობლივი მუდმივმოქმედი არქეოლოგიური ექსპედიცია და მისი ბაზა.</w:t>
            </w:r>
          </w:p>
          <w:p w:rsidR="00210A32" w:rsidRPr="00210A32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</w:rPr>
              <w:t>ქუთაისის ნ. ბერძენიშვილის სახელმწიფო ისტორიული მუზეუმი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Pr="00210A32">
              <w:rPr>
                <w:rFonts w:ascii="Sylfaen" w:hAnsi="Sylfaen"/>
                <w:sz w:val="20"/>
                <w:szCs w:val="20"/>
              </w:rPr>
              <w:t>სამეცნიერო ბიბლიოთეკა, ფონდები  და ლაბორატორიები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210A32">
              <w:rPr>
                <w:rFonts w:ascii="Sylfaen" w:hAnsi="Sylfaen"/>
                <w:sz w:val="20"/>
                <w:szCs w:val="20"/>
              </w:rPr>
              <w:t>.</w:t>
            </w:r>
          </w:p>
          <w:p w:rsidR="00210A32" w:rsidRPr="00210A32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ქუთაისის ისტორიულ-არქიტექტურული მუზეუმ-ნაკრძალი და მის შემადგენლობაშ შემავალი ისტორიულ-არქეოლოგიური ძეგლები.</w:t>
            </w:r>
          </w:p>
          <w:p w:rsidR="00210A32" w:rsidRPr="00210A32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</w:rPr>
              <w:t xml:space="preserve">საქართველოს ეროვნული მუზეუმის არქეოლოგიის ცენტრი 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210A32">
              <w:rPr>
                <w:rFonts w:ascii="Sylfaen" w:hAnsi="Sylfaen"/>
                <w:sz w:val="20"/>
                <w:szCs w:val="20"/>
              </w:rPr>
              <w:t>სამეცნიერო ბიბლიოთეკა, ლაბორატორიები და მუდმივმოქმედი არქეოლოგიური ექსპედიციები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210A32">
              <w:rPr>
                <w:rFonts w:ascii="Sylfaen" w:hAnsi="Sylfaen"/>
                <w:sz w:val="20"/>
                <w:szCs w:val="20"/>
              </w:rPr>
              <w:t>.</w:t>
            </w:r>
          </w:p>
          <w:p w:rsidR="00210A32" w:rsidRPr="00210A32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</w:rPr>
              <w:t xml:space="preserve">პუბლიკაციების შესაძლებლობა აკაკი წერეთლის სახელმწიფო უნივერსიტეტის და ქუთაისის სახელმწიფო მუზეუმის სამეცნიერო შრომათა კრებულებში. </w:t>
            </w:r>
          </w:p>
          <w:p w:rsidR="00210A32" w:rsidRPr="00210A32" w:rsidRDefault="00210A32" w:rsidP="00210A32">
            <w:pPr>
              <w:spacing w:after="0" w:line="240" w:lineRule="auto"/>
              <w:ind w:left="720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</w:p>
          <w:p w:rsidR="00210A32" w:rsidRPr="00210A32" w:rsidRDefault="00210A32" w:rsidP="00210A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 w:cs="Sylfaen"/>
                <w:b/>
                <w:sz w:val="20"/>
                <w:szCs w:val="20"/>
              </w:rPr>
              <w:t>სამაგისტრო</w:t>
            </w:r>
            <w:r w:rsidRPr="00210A32">
              <w:rPr>
                <w:rFonts w:ascii="Sylfaen" w:hAnsi="Sylfaen"/>
                <w:b/>
                <w:sz w:val="20"/>
                <w:szCs w:val="20"/>
              </w:rPr>
              <w:t xml:space="preserve"> პროგრამის </w:t>
            </w:r>
            <w:r w:rsidRPr="00210A32">
              <w:rPr>
                <w:rFonts w:ascii="Sylfaen" w:hAnsi="Sylfaen"/>
                <w:b/>
                <w:sz w:val="20"/>
                <w:szCs w:val="20"/>
                <w:lang w:val="ka-GE"/>
              </w:rPr>
              <w:t>განხორციელებაში აწსუ-სთან გაფორმებული ურთიერთთანამშრომლობის მემორანდუმის საფუძველზე მონაწილე</w:t>
            </w:r>
            <w:r w:rsidRPr="00210A32">
              <w:rPr>
                <w:rFonts w:ascii="Sylfaen" w:hAnsi="Sylfaen"/>
                <w:b/>
                <w:sz w:val="20"/>
                <w:szCs w:val="20"/>
              </w:rPr>
              <w:t xml:space="preserve"> დაწესებულებები:</w:t>
            </w:r>
          </w:p>
          <w:p w:rsidR="00210A32" w:rsidRPr="00210A32" w:rsidRDefault="00210A32" w:rsidP="00210A3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</w:rPr>
              <w:t>საქართველოს ეროვნული მუზეუმის ოთარ ლორთქიფანიძის არქეოლოგიის ცენტრი.</w:t>
            </w:r>
          </w:p>
          <w:p w:rsidR="00210A32" w:rsidRPr="00210A32" w:rsidRDefault="00210A32" w:rsidP="00210A3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</w:rPr>
              <w:t>ქუთაისის სახელმწიფო ისტორიული მუზეუმი.</w:t>
            </w:r>
          </w:p>
          <w:p w:rsidR="00210A32" w:rsidRPr="00210A32" w:rsidRDefault="00210A32" w:rsidP="00210A32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</w:p>
          <w:p w:rsidR="00210A32" w:rsidRPr="006A5941" w:rsidRDefault="00210A32" w:rsidP="00210A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სამაგისტრ</w:t>
            </w:r>
            <w:r w:rsidRPr="006A594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ო </w:t>
            </w:r>
            <w:r w:rsidRPr="006A5941">
              <w:rPr>
                <w:rFonts w:ascii="Sylfaen" w:hAnsi="Sylfaen"/>
                <w:b/>
                <w:bCs/>
                <w:sz w:val="20"/>
                <w:szCs w:val="20"/>
              </w:rPr>
              <w:t>პროგრამი</w:t>
            </w:r>
            <w:r w:rsidRPr="006A594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 განხორციელებაში მონაწილე ადამიანური რესურსები:</w:t>
            </w:r>
          </w:p>
          <w:p w:rsidR="00210A32" w:rsidRPr="006A5941" w:rsidRDefault="00210A32" w:rsidP="006A5941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პროგრამის რეალიზაცია ხდება აწსუ მაღალკვალიფიციური აკადემიური და მოწვეული პერსონალის მეშვეობით სასწავლო კურსების პროფილის შესაბამისად</w:t>
            </w:r>
            <w:r w:rsidR="006A5941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367F4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სრული პროფესორი</w:t>
            </w:r>
            <w:r w:rsidR="002175EE">
              <w:rPr>
                <w:rFonts w:ascii="Sylfaen" w:hAnsi="Sylfaen"/>
                <w:sz w:val="20"/>
                <w:szCs w:val="20"/>
                <w:lang w:val="ka-GE"/>
              </w:rPr>
              <w:t>, 10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</w:t>
            </w:r>
            <w:r w:rsidR="002175EE">
              <w:rPr>
                <w:rFonts w:ascii="Sylfaen" w:hAnsi="Sylfaen"/>
                <w:sz w:val="20"/>
                <w:szCs w:val="20"/>
                <w:lang w:val="ka-GE"/>
              </w:rPr>
              <w:t>, 1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ასისტენტ პროფესორი</w:t>
            </w:r>
            <w:r w:rsidR="002175EE">
              <w:rPr>
                <w:rFonts w:ascii="Sylfaen" w:hAnsi="Sylfaen"/>
                <w:sz w:val="20"/>
                <w:szCs w:val="20"/>
                <w:lang w:val="ka-GE"/>
              </w:rPr>
              <w:t xml:space="preserve">, 1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მოწვეული სპეციალისტი) – </w:t>
            </w:r>
          </w:p>
          <w:p w:rsidR="00210A32" w:rsidRPr="006A5941" w:rsidRDefault="00210A32" w:rsidP="00210A3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</w:rPr>
              <w:t xml:space="preserve">ისტორიის მეცნიერებათა დოქტორი ო. ლანჩავა - აწსუ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მიმართულების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ხელმძღვანელი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 და სრული პროფესორი; იმერეთის რეგიონის არქეოლოგიური კვლევების და კოლექციების უფროსი ზედამხედველი; აწსუ არქეოლოგიური ექსპედიციის ხელმძღვანელი; ქუთაისის სახელმწიფო ისტორიული მუზეუმის დირექტორი.</w:t>
            </w:r>
          </w:p>
          <w:p w:rsidR="00210A32" w:rsidRPr="006A5941" w:rsidRDefault="00210A32" w:rsidP="00210A3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</w:rPr>
              <w:t xml:space="preserve">ისტორიის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დოქტორი მ. ჭუმბურიძე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6A5941">
              <w:rPr>
                <w:rFonts w:ascii="Sylfaen" w:hAnsi="Sylfaen"/>
                <w:sz w:val="20"/>
                <w:szCs w:val="20"/>
              </w:rPr>
              <w:t>ის ასოცირებული პროფესორი; აწსუ არქეოლოგიური ექსპედიციის წევრი.</w:t>
            </w:r>
          </w:p>
          <w:p w:rsidR="00210A32" w:rsidRPr="006A5941" w:rsidRDefault="00210A32" w:rsidP="00210A3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</w:rPr>
              <w:t xml:space="preserve">ისტორიის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დოქტორი რ. ისაკაძე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 საქართველოს ეროვნული მუზეუმის ოთ. ლორთქიფანიძის არქეოლოგიის ცენტრის მეცნიერ-თანამშრომელი; </w:t>
            </w:r>
            <w:r w:rsidR="006A5941">
              <w:rPr>
                <w:rFonts w:ascii="Sylfaen" w:hAnsi="Sylfaen"/>
                <w:sz w:val="20"/>
                <w:szCs w:val="20"/>
                <w:lang w:val="ka-GE"/>
              </w:rPr>
              <w:t>ქუთ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>აისის ისტორიულ-არქიტექტურული მუზეუმ-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ნაკრძალის დირექტორი; </w:t>
            </w:r>
            <w:r w:rsidRPr="006A5941">
              <w:rPr>
                <w:rFonts w:ascii="Sylfaen" w:hAnsi="Sylfaen"/>
                <w:sz w:val="20"/>
                <w:szCs w:val="20"/>
              </w:rPr>
              <w:t>აწსუ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ისტორია-არქეოლოგიის დეპარტამენტის 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ის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  <w:r w:rsidRPr="006A5941">
              <w:rPr>
                <w:rFonts w:ascii="Sylfaen" w:hAnsi="Sylfaen"/>
                <w:sz w:val="20"/>
                <w:szCs w:val="20"/>
              </w:rPr>
              <w:t>; აწსუ არქეოლოგიური ექსპედიციის წევრი.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</w:rPr>
              <w:t>ისტორიი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დოქტორი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ნ. ქარციძე -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 აწსუ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6A5941">
              <w:rPr>
                <w:rFonts w:ascii="Sylfaen" w:hAnsi="Sylfaen"/>
                <w:sz w:val="20"/>
                <w:szCs w:val="20"/>
              </w:rPr>
              <w:t>ის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>ასისტენტ პროფესორი</w:t>
            </w:r>
            <w:r w:rsidRPr="006A5941">
              <w:rPr>
                <w:rFonts w:ascii="Sylfaen" w:hAnsi="Sylfaen"/>
                <w:sz w:val="20"/>
                <w:szCs w:val="20"/>
              </w:rPr>
              <w:t>; აწსუ არქეოლოგიური ექსპედიციის წევრი.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რ. მიქაუტაძე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აწსუ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6A5941">
              <w:rPr>
                <w:rFonts w:ascii="Sylfaen" w:hAnsi="Sylfaen"/>
                <w:sz w:val="20"/>
                <w:szCs w:val="20"/>
              </w:rPr>
              <w:t>ის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>ასოცირებული პროფესორი.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დ. შავიანიძე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აწსუ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6A5941">
              <w:rPr>
                <w:rFonts w:ascii="Sylfaen" w:hAnsi="Sylfaen"/>
                <w:sz w:val="20"/>
                <w:szCs w:val="20"/>
              </w:rPr>
              <w:t>ის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ასოცირებული პროფესორი.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ისტორიის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დოქტორი მ. ხვედელიძე - აწსუ ისტორია-არქეოლოგიის დეპარტამენტის არქეოლოგიის მიმართულების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ო. ნიშნიანიძე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აწსუ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ისტორია-არქეოლოგიის დეპარტამენტის მსოფლიო ისტორიის მიმართულებ</w:t>
            </w:r>
            <w:r w:rsidRPr="006A5941">
              <w:rPr>
                <w:rFonts w:ascii="Sylfaen" w:hAnsi="Sylfaen"/>
                <w:sz w:val="20"/>
                <w:szCs w:val="20"/>
              </w:rPr>
              <w:t>ის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სრული პროფესორი.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ფილოლოგიის მეცნიერებათა დოქტორი ნ. ჩიხლაძე - კლასიკური და რომანული ფილოლოგიის დეპარტამენტის სრული პროფესორი.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დოქტორი ზ. ლილუაშვილი - კლასიკური და რომანული ფილოლოგიის დეპარტამენტის სრული პროფესორი.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დოქტორი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ნ. ფხაკაძე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- ქართული ფილოლოგიის დეპარტამენტის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ნ. წულეისკირი - ქართული ფილოლოგიის დეპარტამენტის </w:t>
            </w:r>
            <w:r w:rsidR="00367F45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მეცნიერებათა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>დოქტორი ე. ქორიძე -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ფილოლოგიის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სრული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 w:cs="Sylfaen"/>
                <w:sz w:val="20"/>
                <w:szCs w:val="20"/>
                <w:lang w:val="ka-GE"/>
              </w:rPr>
              <w:t>ფილოლოგიის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>აკადემიური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ე. გაჩეჩილაძე - კლასიკური და რომანული ფილოლოგიის დეპარტამენტის ასოცირებული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ი. კიკვიძე - სლავისტიკის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სრული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6A594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აკადემიური </w:t>
            </w:r>
            <w:r w:rsidRPr="006A5941">
              <w:rPr>
                <w:rFonts w:ascii="Sylfaen" w:hAnsi="Sylfaen" w:cs="Arial"/>
                <w:sz w:val="20"/>
                <w:szCs w:val="20"/>
                <w:lang w:val="ka-GE"/>
              </w:rPr>
              <w:t>დოქტორი მ. ალავიძე - ინგლისური ფილოლოგიის დეპარტამენტის ასოოცირებული პროფესორი.</w:t>
            </w:r>
          </w:p>
          <w:p w:rsidR="00210A32" w:rsidRPr="006A594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დოქტორი ნ. ბობოხიძე  - სლავისტიკის 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A594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ასოცირებული</w:t>
            </w:r>
            <w:r w:rsidRPr="006A5941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</w:t>
            </w:r>
            <w:r w:rsidRPr="006A594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პროფესორი</w:t>
            </w:r>
            <w:r w:rsidRPr="006A5941">
              <w:rPr>
                <w:rFonts w:ascii="Sylfaen" w:hAnsi="Sylfaen"/>
                <w:sz w:val="20"/>
                <w:szCs w:val="20"/>
                <w:lang w:val="it-IT"/>
              </w:rPr>
              <w:t>.</w:t>
            </w:r>
          </w:p>
          <w:p w:rsidR="00210A32" w:rsidRPr="006A5941" w:rsidRDefault="00210A32" w:rsidP="006858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A5941">
              <w:rPr>
                <w:rFonts w:ascii="Sylfaen" w:hAnsi="Sylfaen"/>
                <w:sz w:val="20"/>
                <w:szCs w:val="20"/>
                <w:lang w:val="ka-GE"/>
              </w:rPr>
              <w:t xml:space="preserve">ქ. ჭელიძე - </w:t>
            </w:r>
            <w:r w:rsidRPr="006A5941">
              <w:rPr>
                <w:rFonts w:ascii="Sylfaen" w:hAnsi="Sylfaen"/>
                <w:sz w:val="20"/>
                <w:szCs w:val="20"/>
              </w:rPr>
              <w:t xml:space="preserve">კომპიუტერული ტექნოლოგიების დეპარტამენტის </w:t>
            </w:r>
            <w:r w:rsidRPr="006A5941">
              <w:rPr>
                <w:rFonts w:ascii="Sylfaen" w:hAnsi="Sylfaen"/>
                <w:sz w:val="20"/>
                <w:szCs w:val="20"/>
                <w:lang w:val="gl-ES"/>
              </w:rPr>
              <w:t>მოწვეული სპეციალისტი.</w:t>
            </w:r>
          </w:p>
        </w:tc>
      </w:tr>
    </w:tbl>
    <w:p w:rsidR="00830973" w:rsidRPr="005E3F4A" w:rsidRDefault="00830973" w:rsidP="002232BE">
      <w:pPr>
        <w:rPr>
          <w:rFonts w:ascii="Sylfaen" w:hAnsi="Sylfaen"/>
          <w:b/>
        </w:rPr>
      </w:pPr>
    </w:p>
    <w:p w:rsidR="0055084E" w:rsidRPr="004A3831" w:rsidRDefault="00D70DD4" w:rsidP="002232BE">
      <w:pPr>
        <w:rPr>
          <w:rFonts w:ascii="Sylfaen" w:hAnsi="Sylfaen"/>
          <w:b/>
          <w:lang w:val="ka-GE"/>
        </w:rPr>
      </w:pPr>
      <w:r w:rsidRPr="006858BC">
        <w:rPr>
          <w:rFonts w:ascii="Sylfaen" w:hAnsi="Sylfaen"/>
          <w:b/>
          <w:lang w:val="ka-GE"/>
        </w:rPr>
        <w:t xml:space="preserve">დანართი </w:t>
      </w:r>
      <w:r w:rsidR="0055084E" w:rsidRPr="006858BC">
        <w:rPr>
          <w:rFonts w:ascii="Sylfaen" w:hAnsi="Sylfaen"/>
          <w:b/>
        </w:rPr>
        <w:t>2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120"/>
        <w:gridCol w:w="720"/>
        <w:gridCol w:w="720"/>
        <w:gridCol w:w="720"/>
        <w:gridCol w:w="720"/>
        <w:gridCol w:w="720"/>
        <w:gridCol w:w="707"/>
      </w:tblGrid>
      <w:tr w:rsidR="00D70DD4" w:rsidRPr="006858BC" w:rsidTr="00D94C55">
        <w:trPr>
          <w:trHeight w:val="274"/>
        </w:trPr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61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430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კომპეტენციები</w:t>
            </w:r>
          </w:p>
        </w:tc>
      </w:tr>
      <w:tr w:rsidR="00D94C55" w:rsidRPr="006858BC" w:rsidTr="00D94C55">
        <w:trPr>
          <w:cantSplit/>
          <w:trHeight w:val="1838"/>
        </w:trPr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1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კომუნიკაციის უნარი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სწავლის უნარი</w:t>
            </w:r>
          </w:p>
        </w:tc>
        <w:tc>
          <w:tcPr>
            <w:tcW w:w="70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ღირებულებები</w:t>
            </w:r>
          </w:p>
        </w:tc>
      </w:tr>
      <w:tr w:rsidR="00D70DD4" w:rsidRPr="006858BC" w:rsidTr="00D94C55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D94C55" w:rsidRPr="006858BC" w:rsidTr="00D94C55">
        <w:trPr>
          <w:trHeight w:val="282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6858BC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1</w:t>
            </w:r>
          </w:p>
        </w:tc>
        <w:tc>
          <w:tcPr>
            <w:tcW w:w="61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  <w:t>სამეცნიერო  წერის საფუძვლები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highlight w:val="yellow"/>
              </w:rPr>
              <w:t>X</w:t>
            </w:r>
          </w:p>
        </w:tc>
      </w:tr>
      <w:tr w:rsidR="00D94C55" w:rsidRPr="006858BC" w:rsidTr="00D94C55">
        <w:trPr>
          <w:trHeight w:val="29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6858BC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2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საველე არქეოლოგიური კვლევის მეთოდ</w:t>
            </w: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</w:tr>
      <w:tr w:rsidR="00D94C55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6858BC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3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  <w:lang w:val="ka-GE"/>
              </w:rPr>
              <w:t>ეგეიდა - ისტორია, არქეოლოგია, კულტურა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D94C55" w:rsidRPr="006858BC" w:rsidTr="00D94C55">
        <w:trPr>
          <w:trHeight w:val="5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6858BC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4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  <w:lang w:val="ka-GE"/>
              </w:rPr>
              <w:t>საომარი ხელოვნება ანტიკური ხანის საქართველოში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D94C55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6858BC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5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D94C55" w:rsidRPr="00D05B98" w:rsidRDefault="008B56F0" w:rsidP="00D94C5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ისტორიული </w:t>
            </w:r>
            <w:r w:rsidRPr="00D05B98">
              <w:rPr>
                <w:rFonts w:ascii="Sylfaen" w:hAnsi="Sylfaen"/>
                <w:bCs/>
                <w:sz w:val="20"/>
                <w:szCs w:val="20"/>
              </w:rPr>
              <w:t xml:space="preserve">ეპოქის </w:t>
            </w: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საქართველოს</w:t>
            </w:r>
            <w:r w:rsidR="00D94C55"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05B98">
              <w:rPr>
                <w:rFonts w:ascii="Sylfaen" w:hAnsi="Sylfaen"/>
                <w:bCs/>
                <w:sz w:val="20"/>
                <w:szCs w:val="20"/>
              </w:rPr>
              <w:t xml:space="preserve">არქეოლოგია </w:t>
            </w:r>
          </w:p>
          <w:p w:rsidR="008B56F0" w:rsidRPr="00D05B98" w:rsidRDefault="008B56F0" w:rsidP="00D94C5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lastRenderedPageBreak/>
              <w:t>(ანტიკ</w:t>
            </w: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 w:rsidRPr="00D05B98">
              <w:rPr>
                <w:rFonts w:ascii="Sylfaen" w:hAnsi="Sylfaen"/>
                <w:bCs/>
                <w:sz w:val="20"/>
                <w:szCs w:val="20"/>
              </w:rPr>
              <w:t xml:space="preserve"> და ადრებიზანტ</w:t>
            </w: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. ხანა)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lastRenderedPageBreak/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D94C55" w:rsidRPr="006858BC" w:rsidTr="00D94C55">
        <w:trPr>
          <w:trHeight w:val="3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6858BC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6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ბერძნული</w:t>
            </w:r>
            <w:r w:rsidR="005E3F4A" w:rsidRPr="00D05B98">
              <w:rPr>
                <w:rFonts w:ascii="Sylfaen" w:hAnsi="Sylfaen"/>
                <w:bCs/>
                <w:sz w:val="20"/>
                <w:szCs w:val="20"/>
              </w:rPr>
              <w:t xml:space="preserve">  </w:t>
            </w: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სამყაროს</w:t>
            </w:r>
            <w:r w:rsidR="00D94C55"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არქეოლოგია</w:t>
            </w:r>
            <w:r w:rsidR="00774688"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და ხელოვნება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D05B98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D05B98" w:rsidRDefault="000110AA" w:rsidP="000110AA">
            <w:pPr>
              <w:tabs>
                <w:tab w:val="center" w:pos="245"/>
              </w:tabs>
              <w:spacing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ab/>
            </w:r>
            <w:r w:rsidR="008B56F0"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774688" w:rsidRPr="006858BC" w:rsidTr="00AE6661">
        <w:trPr>
          <w:trHeight w:val="3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688" w:rsidRPr="006858BC" w:rsidRDefault="00774688" w:rsidP="00ED148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7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688" w:rsidRPr="00D05B98" w:rsidRDefault="00774688" w:rsidP="00ED1480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5B98">
              <w:rPr>
                <w:rFonts w:ascii="Sylfaen" w:hAnsi="Sylfaen"/>
                <w:sz w:val="20"/>
                <w:szCs w:val="20"/>
                <w:lang w:val="ka-GE"/>
              </w:rPr>
              <w:t>საქართველოს სოციოკულტურული დინამიკა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774688" w:rsidRPr="00D05B98" w:rsidRDefault="00774688" w:rsidP="00ED1480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74688" w:rsidRPr="00D05B98" w:rsidRDefault="00774688" w:rsidP="00ED1480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74688" w:rsidRPr="00D05B98" w:rsidRDefault="00774688" w:rsidP="00ED1480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74688" w:rsidRPr="00D05B98" w:rsidRDefault="00774688" w:rsidP="00ED1480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74688" w:rsidRPr="00D05B98" w:rsidRDefault="00774688" w:rsidP="00ED1480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774688" w:rsidRPr="00D05B98" w:rsidRDefault="00774688" w:rsidP="00ED1480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275A3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5A3" w:rsidRPr="006858BC" w:rsidRDefault="004275A3" w:rsidP="004275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8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4275A3" w:rsidRPr="00D05B98" w:rsidRDefault="004275A3" w:rsidP="004275A3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საველე </w:t>
            </w:r>
            <w:r w:rsidRPr="00D05B98">
              <w:rPr>
                <w:rFonts w:ascii="Sylfaen" w:hAnsi="Sylfaen"/>
                <w:bCs/>
                <w:sz w:val="20"/>
                <w:szCs w:val="20"/>
              </w:rPr>
              <w:t>არქეოლოგიური პრაქტიკა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4275A3" w:rsidRPr="00D05B98" w:rsidRDefault="004275A3" w:rsidP="004275A3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275A3" w:rsidRPr="00D05B98" w:rsidRDefault="004275A3" w:rsidP="004275A3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275A3" w:rsidRPr="00D05B98" w:rsidRDefault="004275A3" w:rsidP="004275A3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4275A3" w:rsidRPr="00D05B98" w:rsidRDefault="004275A3" w:rsidP="004275A3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275A3" w:rsidRPr="00D05B98" w:rsidRDefault="004275A3" w:rsidP="004275A3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4275A3" w:rsidRPr="00D05B98" w:rsidRDefault="004275A3" w:rsidP="004275A3">
            <w:pPr>
              <w:spacing w:after="0" w:line="36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რომაული სამყაროს არქეოლოგია და ხელოვნება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D05B98" w:rsidRDefault="000110AA" w:rsidP="000110AA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D05B98" w:rsidRDefault="000110AA" w:rsidP="000110AA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after="0" w:line="36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6858BC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ბიზანტიური ცივილიზაცია და საქართველო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6858BC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11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ანტიკური  სამყაროს ხალხთა ეთნოლოგია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6858BC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</w:rPr>
              <w:t xml:space="preserve">ქალაქები და საქალაქო ცხოვრება </w:t>
            </w:r>
            <w:r w:rsidRPr="00D05B98">
              <w:rPr>
                <w:rFonts w:ascii="Sylfaen" w:hAnsi="Sylfaen"/>
                <w:sz w:val="20"/>
                <w:szCs w:val="20"/>
                <w:lang w:val="ka-GE"/>
              </w:rPr>
              <w:t>ანტიკური ხანის</w:t>
            </w:r>
          </w:p>
          <w:p w:rsidR="000110AA" w:rsidRPr="00D05B98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05B98">
              <w:rPr>
                <w:rFonts w:ascii="Sylfaen" w:hAnsi="Sylfaen"/>
                <w:sz w:val="20"/>
                <w:szCs w:val="20"/>
              </w:rPr>
              <w:t>საქართველოში</w:t>
            </w:r>
            <w:r w:rsidRPr="00D05B9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6858BC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13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  <w:lang w:val="ka-GE"/>
              </w:rPr>
              <w:t xml:space="preserve">ანტიკური ქვეყნების </w:t>
            </w:r>
            <w:r w:rsidRPr="00D05B98">
              <w:rPr>
                <w:rFonts w:ascii="Sylfaen" w:hAnsi="Sylfaen"/>
                <w:sz w:val="20"/>
                <w:szCs w:val="20"/>
              </w:rPr>
              <w:t>ისტორიის წყაროთმცოდნეობა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6858BC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14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  <w:t>უცხო ენა (ინგლისური)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0740C2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6858BC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15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  <w:t>უცხო ენა (გერმანული)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0740C2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6858BC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16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  <w:t>უცხო ენა (ფრანგული)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AcadNusx" w:hAnsi="AcadNusx"/>
                <w:color w:val="FF0000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0740C2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lang w:val="ka-GE"/>
              </w:rPr>
            </w:pP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6858BC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17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  <w:t>უცხო ენა (რუსული)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0740C2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6858BC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18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D05B98" w:rsidRDefault="000110AA" w:rsidP="000110AA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5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ძველი ბერძნული ენა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D05B98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9127C9" w:rsidRPr="006858BC" w:rsidTr="00917326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6858BC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19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9127C9" w:rsidRPr="00F42ED8" w:rsidRDefault="00F42ED8" w:rsidP="009127C9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42ED8">
              <w:rPr>
                <w:rFonts w:ascii="Sylfaen" w:hAnsi="Sylfaen" w:cs="Sylfaen"/>
                <w:sz w:val="20"/>
                <w:szCs w:val="20"/>
                <w:lang w:val="ka-GE"/>
              </w:rPr>
              <w:t>კომპიუტერ</w:t>
            </w:r>
            <w:r w:rsidRPr="00F42ED8">
              <w:rPr>
                <w:rFonts w:ascii="Sylfaen" w:hAnsi="Sylfaen" w:cs="Sylfaen"/>
                <w:sz w:val="20"/>
                <w:szCs w:val="20"/>
                <w:lang w:val="af-ZA"/>
              </w:rPr>
              <w:t>ული ტექნოლოგიები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9127C9" w:rsidRDefault="009127C9" w:rsidP="009127C9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9127C9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9127C9" w:rsidRDefault="009127C9" w:rsidP="009127C9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127C9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9127C9" w:rsidRDefault="009127C9" w:rsidP="009127C9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9127C9" w:rsidRPr="009127C9" w:rsidRDefault="009127C9" w:rsidP="009127C9">
            <w:pPr>
              <w:tabs>
                <w:tab w:val="center" w:pos="252"/>
                <w:tab w:val="left" w:pos="300"/>
                <w:tab w:val="center" w:pos="524"/>
              </w:tabs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127C9">
              <w:rPr>
                <w:rFonts w:ascii="Sylfaen" w:hAnsi="Sylfaen" w:cs="Sylfaen"/>
                <w:noProof/>
                <w:sz w:val="20"/>
                <w:szCs w:val="20"/>
              </w:rPr>
              <w:tab/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0110AA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0110AA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</w:p>
        </w:tc>
      </w:tr>
      <w:tr w:rsidR="009127C9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6858BC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20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  <w:t>უცხო ენა (ინგლისური)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</w:p>
        </w:tc>
      </w:tr>
      <w:tr w:rsidR="009127C9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6858BC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21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  <w:t>უცხო ენა (გერმანული)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</w:tr>
      <w:tr w:rsidR="009127C9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6858BC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22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  <w:t>უცხო ენა (ფრანგული)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AcadNusx" w:hAnsi="AcadNusx"/>
                <w:color w:val="FF0000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</w:p>
        </w:tc>
      </w:tr>
      <w:tr w:rsidR="009127C9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6858BC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23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  <w:t>უცხო ენა (რუსული)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 w:rsidRPr="00D05B98">
              <w:rPr>
                <w:rFonts w:ascii="AcadNusx" w:hAnsi="AcadNusx"/>
                <w:sz w:val="20"/>
                <w:szCs w:val="20"/>
                <w:highlight w:val="yellow"/>
              </w:rPr>
              <w:t>X</w:t>
            </w:r>
          </w:p>
        </w:tc>
      </w:tr>
      <w:tr w:rsidR="009127C9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6858BC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24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D05B98" w:rsidRDefault="009127C9" w:rsidP="009127C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  <w:lang w:val="ka-GE"/>
              </w:rPr>
              <w:t>ლათინური ენა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9127C9" w:rsidRPr="006858BC" w:rsidTr="0028357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6858BC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25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ანტიკური ცივილიზაცია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9127C9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6858BC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26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D05B98" w:rsidRDefault="009127C9" w:rsidP="009127C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ეთნოლოგია 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9127C9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6858BC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27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D05B98" w:rsidRDefault="009127C9" w:rsidP="009127C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  <w:lang w:val="ka-GE"/>
              </w:rPr>
              <w:t>ანტიკური ქვეყნების ისტორია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9127C9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6858BC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28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  <w:lang w:val="ka-GE"/>
              </w:rPr>
              <w:t>ლინგვისტურ მოძღვრებათა ისტორია (ანტიკური პერიოდი)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9127C9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29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  <w:lang w:val="ka-GE"/>
              </w:rPr>
              <w:t>არქეოლოგიური წყაროები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9127C9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Pr="006858BC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30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 w:cs="Sylfaen"/>
                <w:sz w:val="20"/>
                <w:szCs w:val="20"/>
                <w:lang w:val="ka-GE"/>
              </w:rPr>
              <w:t>ჩრდილოეთ შავიზღვისპირეთი ანტიკურ ხანაში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after="0" w:line="36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9127C9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27C9" w:rsidRDefault="009127C9" w:rsidP="009127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31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5B98">
              <w:rPr>
                <w:rFonts w:ascii="Sylfaen" w:hAnsi="Sylfaen"/>
                <w:sz w:val="20"/>
                <w:szCs w:val="20"/>
              </w:rPr>
              <w:t>ანტიკური ლიტერატურის პოეტიკა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D05B98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9127C9" w:rsidRPr="00D05B98" w:rsidRDefault="009127C9" w:rsidP="009127C9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05B98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</w:tbl>
    <w:p w:rsidR="002454A8" w:rsidRDefault="002454A8" w:rsidP="002232BE">
      <w:pPr>
        <w:rPr>
          <w:rFonts w:ascii="Sylfaen" w:hAnsi="Sylfaen"/>
          <w:b/>
          <w:lang w:val="ka-GE"/>
        </w:rPr>
        <w:sectPr w:rsidR="002454A8" w:rsidSect="00C307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2454A8" w:rsidRPr="009B02BB" w:rsidRDefault="002454A8" w:rsidP="002454A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დანართი 1</w:t>
      </w:r>
    </w:p>
    <w:p w:rsidR="002454A8" w:rsidRDefault="002454A8" w:rsidP="002454A8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</w:p>
    <w:p w:rsidR="002454A8" w:rsidRPr="009B02BB" w:rsidRDefault="002454A8" w:rsidP="002454A8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</w:rPr>
        <w:t xml:space="preserve"> </w:t>
      </w:r>
      <w:bookmarkStart w:id="0" w:name="_GoBack"/>
      <w:bookmarkEnd w:id="0"/>
      <w:r>
        <w:rPr>
          <w:rFonts w:ascii="Sylfaen" w:hAnsi="Sylfaen" w:cs="Sylfaen"/>
          <w:b/>
          <w:lang w:val="af-ZA"/>
        </w:rPr>
        <w:t>20</w:t>
      </w:r>
      <w:r>
        <w:rPr>
          <w:rFonts w:ascii="Sylfaen" w:hAnsi="Sylfaen" w:cs="Sylfaen"/>
          <w:b/>
          <w:lang w:val="ka-GE"/>
        </w:rPr>
        <w:t>17</w:t>
      </w:r>
      <w:r>
        <w:rPr>
          <w:rFonts w:ascii="Sylfaen" w:hAnsi="Sylfaen" w:cs="Sylfaen"/>
          <w:b/>
          <w:lang w:val="af-ZA"/>
        </w:rPr>
        <w:t>-20</w:t>
      </w:r>
      <w:r>
        <w:rPr>
          <w:rFonts w:ascii="Sylfaen" w:hAnsi="Sylfaen" w:cs="Sylfaen"/>
          <w:b/>
          <w:lang w:val="ka-GE"/>
        </w:rPr>
        <w:t>19</w:t>
      </w:r>
      <w:r>
        <w:rPr>
          <w:rFonts w:ascii="Sylfaen" w:hAnsi="Sylfaen" w:cs="Sylfaen"/>
          <w:b/>
          <w:lang w:val="ka-GE"/>
        </w:rPr>
        <w:t xml:space="preserve"> წ.წ</w:t>
      </w:r>
    </w:p>
    <w:p w:rsidR="002454A8" w:rsidRPr="00F65329" w:rsidRDefault="002454A8" w:rsidP="002454A8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>არქეოლოგია და ანტიკური ცივილიზაციები</w:t>
      </w:r>
    </w:p>
    <w:p w:rsidR="002454A8" w:rsidRPr="009B02BB" w:rsidRDefault="002454A8" w:rsidP="002454A8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057"/>
        <w:gridCol w:w="894"/>
        <w:gridCol w:w="958"/>
        <w:gridCol w:w="951"/>
        <w:gridCol w:w="1085"/>
        <w:gridCol w:w="568"/>
      </w:tblGrid>
      <w:tr w:rsidR="002454A8" w:rsidRPr="009B02BB" w:rsidTr="00052271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454A8" w:rsidRPr="009B02BB" w:rsidRDefault="002454A8" w:rsidP="0005227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2454A8" w:rsidRPr="009B02BB" w:rsidTr="00052271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vMerge w:val="restart"/>
            <w:tcBorders>
              <w:lef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  <w:p w:rsidR="002454A8" w:rsidRPr="00F65329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2454A8" w:rsidRPr="00F65329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II</w:t>
            </w:r>
          </w:p>
          <w:p w:rsidR="002454A8" w:rsidRPr="00F65329" w:rsidRDefault="002454A8" w:rsidP="0005227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2454A8" w:rsidRPr="00F65329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1085" w:type="dxa"/>
            <w:vMerge w:val="restart"/>
            <w:tcBorders>
              <w:right w:val="double" w:sz="4" w:space="0" w:color="auto"/>
            </w:tcBorders>
            <w:vAlign w:val="center"/>
          </w:tcPr>
          <w:p w:rsidR="002454A8" w:rsidRPr="00F65329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  <w:r>
              <w:rPr>
                <w:rFonts w:ascii="Sylfaen" w:hAnsi="Sylfaen"/>
                <w:sz w:val="20"/>
                <w:szCs w:val="20"/>
              </w:rPr>
              <w:t>V</w:t>
            </w:r>
          </w:p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454A8" w:rsidRPr="009B02BB" w:rsidTr="00052271">
        <w:trPr>
          <w:cantSplit/>
          <w:trHeight w:val="156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2454A8" w:rsidRPr="00353641" w:rsidRDefault="002454A8" w:rsidP="00052271">
            <w:pPr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2454A8" w:rsidRPr="00353641" w:rsidRDefault="002454A8" w:rsidP="00052271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454A8" w:rsidRPr="009B02BB" w:rsidTr="00052271">
        <w:trPr>
          <w:trHeight w:val="69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</w:tr>
      <w:tr w:rsidR="002454A8" w:rsidRPr="009B02BB" w:rsidTr="00052271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454A8" w:rsidRPr="00571A92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329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2454A8" w:rsidRPr="009B02BB" w:rsidRDefault="002454A8" w:rsidP="0005227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პროგრამის ძირითადი კურსები</w:t>
            </w:r>
            <w:r>
              <w:rPr>
                <w:rFonts w:ascii="AcadMtavr" w:hAnsi="AcadMtavr"/>
                <w:b/>
                <w:bCs/>
                <w:sz w:val="18"/>
                <w:szCs w:val="18"/>
              </w:rPr>
              <w:t>I</w:t>
            </w:r>
          </w:p>
        </w:tc>
      </w:tr>
      <w:tr w:rsidR="002454A8" w:rsidRPr="009B02BB" w:rsidTr="00052271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54A8" w:rsidRPr="00571A92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54A8" w:rsidRPr="004042DE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სამეცნიერო  წერის საფუძვლები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54A8" w:rsidRPr="007F21F5" w:rsidRDefault="002454A8" w:rsidP="00052271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F21F5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454A8" w:rsidRPr="00571A92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454A8" w:rsidRPr="00571A92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54A8" w:rsidRPr="00571A92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2454A8" w:rsidRPr="00571A92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2454A8" w:rsidRPr="009B02BB" w:rsidTr="0005227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 w:cs="Sylfaen"/>
                <w:sz w:val="20"/>
                <w:szCs w:val="20"/>
                <w:lang w:val="ka-GE"/>
              </w:rPr>
              <w:t>საველე არქეოლოგიური კვლევის მეთოდიკა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2E53D5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8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 w:cs="Sylfaen"/>
                <w:sz w:val="20"/>
                <w:szCs w:val="20"/>
                <w:lang w:val="ka-GE"/>
              </w:rPr>
              <w:t>ეგეიდა - ისტორია,  არქეოლოგია,  კულტურა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8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 w:cs="Sylfaen"/>
                <w:sz w:val="20"/>
                <w:szCs w:val="20"/>
                <w:lang w:val="ka-GE"/>
              </w:rPr>
              <w:t>საომარი ხელოვნება ანტიკური ხანის საქართველოში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8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ისტორიული ეპოქის  საქართველოს არქეოლოგია (ანტიკური და ადრებიზანტიური ხანა)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1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2454A8" w:rsidRPr="00B71B9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 w:cs="Sylfaen"/>
                <w:sz w:val="20"/>
                <w:szCs w:val="20"/>
                <w:lang w:val="ka-GE"/>
              </w:rPr>
              <w:t>ბერძნული სამყაროს არქეოლოგია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ხელოვნება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1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816B1A" w:rsidRDefault="002454A8" w:rsidP="00052271">
            <w:pPr>
              <w:rPr>
                <w:rFonts w:ascii="Sylfaen" w:hAnsi="Sylfaen" w:cs="Sylfaen"/>
                <w:sz w:val="20"/>
                <w:szCs w:val="20"/>
              </w:rPr>
            </w:pPr>
            <w:r w:rsidRPr="00816B1A">
              <w:rPr>
                <w:rFonts w:ascii="Sylfaen" w:hAnsi="Sylfaen"/>
                <w:sz w:val="20"/>
                <w:szCs w:val="20"/>
                <w:lang w:val="ka-GE"/>
              </w:rPr>
              <w:t>საქართველოს სოციოკულტურული დინამიკა</w:t>
            </w:r>
            <w:r w:rsidRPr="00816B1A">
              <w:rPr>
                <w:rFonts w:ascii="Sylfaen" w:hAnsi="Sylfaen"/>
                <w:sz w:val="20"/>
                <w:szCs w:val="20"/>
              </w:rPr>
              <w:t xml:space="preserve">  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F65329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1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2454A8" w:rsidRPr="00B71B9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არქეოლოგიური პრაქტიკა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1" w:type="dxa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454A8" w:rsidRPr="009B02BB" w:rsidTr="0005227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F65329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რომაული სამყაროს</w:t>
            </w: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 xml:space="preserve"> არქეოლოგია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და ხელოვნება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454A8" w:rsidRPr="009B02BB" w:rsidTr="0005227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F65329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 w:cs="Sylfaen"/>
                <w:sz w:val="20"/>
                <w:szCs w:val="20"/>
                <w:lang w:val="ka-GE"/>
              </w:rPr>
              <w:t>ბიზანტიური ცივილიზაცია და საქართველო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454A8" w:rsidRPr="009B02BB" w:rsidTr="0005227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F65329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ანტიკური სამყაროს ხალხთა ეთნოლოგია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Align w:val="center"/>
          </w:tcPr>
          <w:p w:rsidR="002454A8" w:rsidRPr="004042DE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454A8" w:rsidRPr="009B02BB" w:rsidTr="00052271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55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8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454A8" w:rsidRPr="00BB07F4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32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2454A8" w:rsidRPr="00D3589B" w:rsidRDefault="002454A8" w:rsidP="00052271">
            <w:pPr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საგნები </w:t>
            </w:r>
            <w:r w:rsidRPr="00D3589B">
              <w:rPr>
                <w:rFonts w:ascii="AcadNusx" w:hAnsi="AcadNusx"/>
                <w:b/>
                <w:sz w:val="20"/>
                <w:szCs w:val="20"/>
              </w:rPr>
              <w:t>II</w:t>
            </w:r>
            <w:r w:rsidRPr="00D3589B">
              <w:rPr>
                <w:rFonts w:ascii="Sylfaen" w:hAnsi="Sylfaen"/>
                <w:b/>
                <w:sz w:val="20"/>
                <w:szCs w:val="20"/>
                <w:lang w:val="ka-GE"/>
              </w:rPr>
              <w:t>. 1</w:t>
            </w:r>
          </w:p>
        </w:tc>
      </w:tr>
      <w:tr w:rsidR="002454A8" w:rsidRPr="009B02BB" w:rsidTr="00052271">
        <w:trPr>
          <w:trHeight w:val="91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BB07F4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 w:cs="Sylfaen"/>
                <w:sz w:val="20"/>
                <w:szCs w:val="20"/>
                <w:lang w:val="ka-GE"/>
              </w:rPr>
              <w:t>ქალაქები და საქალაქო ცხოვრება ანტიკური ხანის საქართველოში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54A8" w:rsidRPr="004042DE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 w:val="restart"/>
            <w:tcBorders>
              <w:top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BB07F4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ანტიკური ქვეყნების ისტორიის წყაროთმცოდნეობა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2454A8" w:rsidRPr="004042DE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vMerge/>
            <w:tcBorders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vMerge/>
            <w:tcBorders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არჩევითი საგნები </w:t>
            </w:r>
            <w:r w:rsidRPr="00D3589B">
              <w:rPr>
                <w:rFonts w:ascii="AcadNusx" w:hAnsi="AcadNusx"/>
                <w:b/>
                <w:sz w:val="20"/>
                <w:szCs w:val="20"/>
              </w:rPr>
              <w:t xml:space="preserve">  II</w:t>
            </w:r>
            <w:r w:rsidRPr="00D3589B">
              <w:rPr>
                <w:rFonts w:ascii="Sylfaen" w:hAnsi="Sylfaen"/>
                <w:b/>
                <w:sz w:val="20"/>
                <w:szCs w:val="20"/>
                <w:lang w:val="ka-GE"/>
              </w:rPr>
              <w:t>. 2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00"/>
          <w:jc w:val="center"/>
        </w:trPr>
        <w:tc>
          <w:tcPr>
            <w:tcW w:w="6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37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7F21F5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F21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უცხო ენები (ინგლისური, გერმანული, ფრანგული, რუსული) </w:t>
            </w:r>
            <w:r w:rsidRPr="007F21F5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7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0/0/2/0</w:t>
            </w:r>
          </w:p>
        </w:tc>
        <w:tc>
          <w:tcPr>
            <w:tcW w:w="894" w:type="dxa"/>
            <w:vMerge w:val="restart"/>
            <w:tcBorders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8" w:type="dxa"/>
            <w:vMerge w:val="restart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tcBorders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 w:val="restart"/>
            <w:tcBorders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300"/>
          <w:jc w:val="center"/>
        </w:trPr>
        <w:tc>
          <w:tcPr>
            <w:tcW w:w="6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37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7F21F5" w:rsidRDefault="002454A8" w:rsidP="00052271">
            <w:pPr>
              <w:rPr>
                <w:rFonts w:ascii="Sylfaen" w:hAnsi="Sylfaen"/>
                <w:sz w:val="20"/>
                <w:szCs w:val="20"/>
              </w:rPr>
            </w:pPr>
            <w:r w:rsidRPr="007F21F5">
              <w:rPr>
                <w:rFonts w:ascii="Sylfaen" w:hAnsi="Sylfaen" w:cs="Sylfaen"/>
                <w:sz w:val="20"/>
                <w:szCs w:val="20"/>
                <w:lang w:val="ka-GE"/>
              </w:rPr>
              <w:t>ძველი ბერძნული ენა</w:t>
            </w:r>
          </w:p>
        </w:tc>
        <w:tc>
          <w:tcPr>
            <w:tcW w:w="7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54A8" w:rsidRPr="009220FD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220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220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220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220FD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220FD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9220FD">
              <w:rPr>
                <w:rFonts w:ascii="Sylfaen" w:hAnsi="Sylfaen"/>
                <w:sz w:val="20"/>
                <w:szCs w:val="20"/>
              </w:rPr>
              <w:t>2</w:t>
            </w:r>
            <w:r w:rsidRPr="009220FD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894" w:type="dxa"/>
            <w:vMerge/>
            <w:tcBorders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7F21F5" w:rsidRDefault="002454A8" w:rsidP="0005227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F21F5">
              <w:rPr>
                <w:rFonts w:ascii="Sylfaen" w:hAnsi="Sylfaen" w:cs="Sylfaen"/>
                <w:sz w:val="20"/>
                <w:szCs w:val="20"/>
                <w:lang w:val="ka-GE"/>
              </w:rPr>
              <w:t>კომპიუტერული ტექნოლოგიები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220FD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220F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220F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220F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220F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220FD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220FD">
              <w:rPr>
                <w:rFonts w:ascii="Sylfaen" w:hAnsi="Sylfaen"/>
                <w:sz w:val="20"/>
                <w:szCs w:val="20"/>
              </w:rPr>
              <w:t>0/0/2/0</w:t>
            </w:r>
          </w:p>
        </w:tc>
        <w:tc>
          <w:tcPr>
            <w:tcW w:w="8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7F21F5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F21F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არჩევითი საგნები </w:t>
            </w:r>
            <w:r w:rsidRPr="007F21F5">
              <w:rPr>
                <w:rFonts w:ascii="AcadNusx" w:hAnsi="AcadNusx"/>
                <w:b/>
                <w:sz w:val="20"/>
                <w:szCs w:val="20"/>
              </w:rPr>
              <w:t xml:space="preserve">  III</w:t>
            </w:r>
            <w:r w:rsidRPr="007F21F5">
              <w:rPr>
                <w:rFonts w:ascii="Sylfaen" w:hAnsi="Sylfaen"/>
                <w:b/>
                <w:sz w:val="20"/>
                <w:szCs w:val="20"/>
                <w:lang w:val="ka-GE"/>
              </w:rPr>
              <w:t>. 1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40"/>
          <w:jc w:val="center"/>
        </w:trPr>
        <w:tc>
          <w:tcPr>
            <w:tcW w:w="6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37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7F21F5" w:rsidRDefault="002454A8" w:rsidP="0005227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F21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უცხო ენები (ინგლისური, გერმანული, ფრანგული, რუსული) </w:t>
            </w:r>
            <w:r w:rsidRPr="007F21F5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0/0/2/0</w:t>
            </w:r>
          </w:p>
        </w:tc>
        <w:tc>
          <w:tcPr>
            <w:tcW w:w="894" w:type="dxa"/>
            <w:vMerge w:val="restart"/>
            <w:tcBorders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1" w:type="dxa"/>
            <w:vMerge w:val="restart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tcBorders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 w:val="restart"/>
            <w:tcBorders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360"/>
          <w:jc w:val="center"/>
        </w:trPr>
        <w:tc>
          <w:tcPr>
            <w:tcW w:w="6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37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816B1A" w:rsidRDefault="002454A8" w:rsidP="0005227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 w:cs="Sylfaen"/>
                <w:sz w:val="20"/>
                <w:szCs w:val="20"/>
                <w:lang w:val="ka-GE"/>
              </w:rPr>
              <w:t>ლათინური ენა</w:t>
            </w:r>
          </w:p>
        </w:tc>
        <w:tc>
          <w:tcPr>
            <w:tcW w:w="7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894" w:type="dxa"/>
            <w:vMerge/>
            <w:tcBorders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31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ცივილიზაცია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30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არჩევითი საგნები </w:t>
            </w:r>
            <w:r w:rsidRPr="00D3589B">
              <w:rPr>
                <w:rFonts w:ascii="AcadNusx" w:hAnsi="AcadNusx"/>
                <w:b/>
                <w:sz w:val="20"/>
                <w:szCs w:val="20"/>
              </w:rPr>
              <w:t xml:space="preserve">  III</w:t>
            </w:r>
            <w:r w:rsidRPr="00D3589B">
              <w:rPr>
                <w:rFonts w:ascii="Sylfaen" w:hAnsi="Sylfaen"/>
                <w:b/>
                <w:sz w:val="20"/>
                <w:szCs w:val="20"/>
                <w:lang w:val="ka-GE"/>
              </w:rPr>
              <w:t>. 2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165"/>
          <w:jc w:val="center"/>
        </w:trPr>
        <w:tc>
          <w:tcPr>
            <w:tcW w:w="6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37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4042DE" w:rsidRDefault="002454A8" w:rsidP="0005227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042DE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ეთნოლოგია</w:t>
            </w:r>
          </w:p>
        </w:tc>
        <w:tc>
          <w:tcPr>
            <w:tcW w:w="7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vMerge w:val="restart"/>
            <w:tcBorders>
              <w:lef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51" w:type="dxa"/>
            <w:vMerge w:val="restart"/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tcBorders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 w:val="restart"/>
            <w:tcBorders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55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227526" w:rsidRDefault="002454A8" w:rsidP="00052271">
            <w:pPr>
              <w:rPr>
                <w:rFonts w:ascii="Sylfaen" w:hAnsi="Sylfaen"/>
                <w:sz w:val="20"/>
                <w:szCs w:val="20"/>
              </w:rPr>
            </w:pPr>
            <w:r w:rsidRPr="004042DE">
              <w:rPr>
                <w:rFonts w:ascii="Sylfaen" w:hAnsi="Sylfaen"/>
                <w:sz w:val="20"/>
                <w:szCs w:val="20"/>
                <w:lang w:val="ka-GE"/>
              </w:rPr>
              <w:t>ანტიკური ქვეყნების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30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rPr>
                <w:rFonts w:ascii="Sylfaen" w:hAnsi="Sylfaen" w:cs="Sylfaen"/>
                <w:sz w:val="20"/>
                <w:szCs w:val="20"/>
              </w:rPr>
            </w:pPr>
            <w:r w:rsidRPr="00D3589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არჩევითი საგნები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3589B">
              <w:rPr>
                <w:rFonts w:ascii="Times New Roman" w:hAnsi="Times New Roman"/>
                <w:b/>
                <w:sz w:val="20"/>
                <w:szCs w:val="20"/>
              </w:rPr>
              <w:t>IV. 1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bottom w:val="double" w:sz="4" w:space="0" w:color="auto"/>
              <w:right w:val="double" w:sz="4" w:space="0" w:color="auto"/>
            </w:tcBorders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185"/>
          <w:jc w:val="center"/>
        </w:trPr>
        <w:tc>
          <w:tcPr>
            <w:tcW w:w="6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3589B">
              <w:rPr>
                <w:rFonts w:ascii="Sylfaen" w:hAnsi="Sylfaen"/>
                <w:sz w:val="20"/>
                <w:szCs w:val="20"/>
              </w:rPr>
              <w:t>4.1</w:t>
            </w:r>
          </w:p>
        </w:tc>
        <w:tc>
          <w:tcPr>
            <w:tcW w:w="37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816B1A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16B1A">
              <w:rPr>
                <w:rFonts w:ascii="Sylfaen" w:hAnsi="Sylfaen"/>
                <w:sz w:val="20"/>
                <w:szCs w:val="20"/>
                <w:lang w:val="ka-GE"/>
              </w:rPr>
              <w:t xml:space="preserve">ლინგვისტურ მოძღვრებათა ისტორია (ანტიკური პერიოდი) </w:t>
            </w:r>
          </w:p>
        </w:tc>
        <w:tc>
          <w:tcPr>
            <w:tcW w:w="7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vMerge w:val="restart"/>
            <w:tcBorders>
              <w:left w:val="double" w:sz="4" w:space="0" w:color="auto"/>
            </w:tcBorders>
            <w:vAlign w:val="center"/>
          </w:tcPr>
          <w:p w:rsidR="002454A8" w:rsidRPr="00BB07F4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  <w:r w:rsidRPr="00D3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5" w:type="dxa"/>
            <w:vMerge w:val="restart"/>
            <w:tcBorders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 w:val="restart"/>
            <w:tcBorders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85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3589B">
              <w:rPr>
                <w:rFonts w:ascii="Sylfaen" w:hAnsi="Sylfaen"/>
                <w:sz w:val="20"/>
                <w:szCs w:val="20"/>
              </w:rPr>
              <w:t>4.2</w:t>
            </w: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816B1A" w:rsidRDefault="002454A8" w:rsidP="0005227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B1A">
              <w:rPr>
                <w:rFonts w:ascii="Sylfaen" w:hAnsi="Sylfaen" w:cs="Sylfaen"/>
                <w:sz w:val="20"/>
                <w:szCs w:val="20"/>
                <w:lang w:val="ka-GE"/>
              </w:rPr>
              <w:t>არქეოლოგიური წყაროები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BB07F4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30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არჩევითი საგნები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3589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3589B">
              <w:rPr>
                <w:rFonts w:ascii="Times New Roman" w:hAnsi="Times New Roman"/>
                <w:b/>
                <w:sz w:val="20"/>
                <w:szCs w:val="20"/>
              </w:rPr>
              <w:t>IV. 2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BB07F4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336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B70F26" w:rsidRDefault="002454A8" w:rsidP="0005227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70F2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ჩრდილოეთ შავიზღვისპირეთი </w:t>
            </w:r>
            <w:r w:rsidRPr="00B70F26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ანტიკურ ხანაში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BB07F4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 w:val="restart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 w:val="restart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  <w:r w:rsidRPr="00D3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5" w:type="dxa"/>
            <w:vMerge w:val="restar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 w:val="restart"/>
            <w:tcBorders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336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4.4</w:t>
            </w: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B70F26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70F26"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ლიტერატურის პოეტიკა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8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BB07F4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vMerge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336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66042" w:rsidRDefault="002454A8" w:rsidP="0005227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660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8332AE" w:rsidRDefault="002454A8" w:rsidP="0005227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32AE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BB07F4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30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საკურსო და სამაგისტრო ნაშრომები </w:t>
            </w:r>
            <w:r w:rsidRPr="00D3589B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BB07F4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276"/>
          <w:jc w:val="center"/>
        </w:trPr>
        <w:tc>
          <w:tcPr>
            <w:tcW w:w="6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5.1</w:t>
            </w:r>
          </w:p>
        </w:tc>
        <w:tc>
          <w:tcPr>
            <w:tcW w:w="37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 w:cs="Sylfaen"/>
                <w:sz w:val="20"/>
                <w:szCs w:val="20"/>
                <w:lang w:val="ka-GE"/>
              </w:rPr>
              <w:t>საკურსო ნაშრომი</w:t>
            </w:r>
          </w:p>
        </w:tc>
        <w:tc>
          <w:tcPr>
            <w:tcW w:w="7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315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5.2</w:t>
            </w: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3589B">
              <w:rPr>
                <w:rFonts w:ascii="Sylfaen" w:hAnsi="Sylfaen" w:cs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315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D3589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8332AE" w:rsidRDefault="002454A8" w:rsidP="0005227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332A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4A8" w:rsidRPr="008332AE" w:rsidRDefault="002454A8" w:rsidP="0005227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8332AE" w:rsidRDefault="002454A8" w:rsidP="0005227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32AE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4A8" w:rsidRPr="009B02BB" w:rsidTr="00052271">
        <w:trPr>
          <w:trHeight w:val="91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54A8" w:rsidRPr="007B2B41" w:rsidRDefault="002454A8" w:rsidP="00052271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D660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54A8" w:rsidRPr="008332AE" w:rsidRDefault="002454A8" w:rsidP="0005227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4A8" w:rsidRPr="008332AE" w:rsidRDefault="002454A8" w:rsidP="0005227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32AE">
              <w:rPr>
                <w:rFonts w:ascii="Sylfaen" w:hAnsi="Sylfaen"/>
                <w:b/>
                <w:sz w:val="20"/>
                <w:szCs w:val="20"/>
                <w:lang w:val="ka-GE"/>
              </w:rPr>
              <w:t>90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tcBorders>
              <w:top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right w:val="double" w:sz="4" w:space="0" w:color="auto"/>
            </w:tcBorders>
          </w:tcPr>
          <w:p w:rsidR="002454A8" w:rsidRPr="009B02BB" w:rsidRDefault="002454A8" w:rsidP="0005227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2454A8" w:rsidRDefault="002454A8" w:rsidP="002454A8">
      <w:pPr>
        <w:tabs>
          <w:tab w:val="left" w:pos="10320"/>
        </w:tabs>
      </w:pPr>
      <w:r>
        <w:tab/>
      </w:r>
    </w:p>
    <w:p w:rsidR="003F0F62" w:rsidRPr="006858BC" w:rsidRDefault="003F0F62" w:rsidP="002232BE">
      <w:pPr>
        <w:rPr>
          <w:rFonts w:ascii="Sylfaen" w:hAnsi="Sylfaen"/>
          <w:b/>
          <w:lang w:val="ka-GE"/>
        </w:rPr>
      </w:pPr>
    </w:p>
    <w:p w:rsidR="003F0F62" w:rsidRPr="006858BC" w:rsidRDefault="003F0F62" w:rsidP="002232BE">
      <w:pPr>
        <w:rPr>
          <w:rFonts w:ascii="Sylfaen" w:hAnsi="Sylfaen"/>
          <w:b/>
          <w:lang w:val="ka-GE"/>
        </w:rPr>
      </w:pPr>
    </w:p>
    <w:sectPr w:rsidR="003F0F62" w:rsidRPr="006858BC" w:rsidSect="002454A8">
      <w:type w:val="continuous"/>
      <w:pgSz w:w="15840" w:h="12240" w:orient="landscape"/>
      <w:pgMar w:top="1701" w:right="839" w:bottom="544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1D" w:rsidRDefault="0084001D">
      <w:pPr>
        <w:spacing w:after="0" w:line="240" w:lineRule="auto"/>
      </w:pPr>
      <w:r>
        <w:separator/>
      </w:r>
    </w:p>
  </w:endnote>
  <w:endnote w:type="continuationSeparator" w:id="0">
    <w:p w:rsidR="0084001D" w:rsidRDefault="0084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367F45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7F45" w:rsidRDefault="00367F45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367F45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4A8">
      <w:rPr>
        <w:rStyle w:val="PageNumber"/>
        <w:noProof/>
      </w:rPr>
      <w:t>9</w:t>
    </w:r>
    <w:r>
      <w:rPr>
        <w:rStyle w:val="PageNumber"/>
      </w:rPr>
      <w:fldChar w:fldCharType="end"/>
    </w:r>
  </w:p>
  <w:p w:rsidR="00367F45" w:rsidRDefault="00367F45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367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1D" w:rsidRDefault="0084001D">
      <w:pPr>
        <w:spacing w:after="0" w:line="240" w:lineRule="auto"/>
      </w:pPr>
      <w:r>
        <w:separator/>
      </w:r>
    </w:p>
  </w:footnote>
  <w:footnote w:type="continuationSeparator" w:id="0">
    <w:p w:rsidR="0084001D" w:rsidRDefault="0084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367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367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367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3E5"/>
    <w:multiLevelType w:val="hybridMultilevel"/>
    <w:tmpl w:val="7C9A8E4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59D"/>
    <w:multiLevelType w:val="hybridMultilevel"/>
    <w:tmpl w:val="16D42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0856"/>
    <w:multiLevelType w:val="hybridMultilevel"/>
    <w:tmpl w:val="9A7065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67E4"/>
    <w:multiLevelType w:val="hybridMultilevel"/>
    <w:tmpl w:val="436CEF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6DE66CB"/>
    <w:multiLevelType w:val="hybridMultilevel"/>
    <w:tmpl w:val="6F1E3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B68"/>
    <w:multiLevelType w:val="hybridMultilevel"/>
    <w:tmpl w:val="C55C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21E42"/>
    <w:multiLevelType w:val="hybridMultilevel"/>
    <w:tmpl w:val="3124B5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4C37CAB"/>
    <w:multiLevelType w:val="hybridMultilevel"/>
    <w:tmpl w:val="E79CE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35DA6"/>
    <w:multiLevelType w:val="hybridMultilevel"/>
    <w:tmpl w:val="2F9A7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144474"/>
    <w:multiLevelType w:val="hybridMultilevel"/>
    <w:tmpl w:val="C7523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51365"/>
    <w:multiLevelType w:val="hybridMultilevel"/>
    <w:tmpl w:val="99C0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28601C"/>
    <w:multiLevelType w:val="hybridMultilevel"/>
    <w:tmpl w:val="0E3C56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3B4"/>
    <w:multiLevelType w:val="hybridMultilevel"/>
    <w:tmpl w:val="2EBA0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0166"/>
    <w:multiLevelType w:val="hybridMultilevel"/>
    <w:tmpl w:val="A21CB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D562B"/>
    <w:multiLevelType w:val="hybridMultilevel"/>
    <w:tmpl w:val="34586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3269B"/>
    <w:multiLevelType w:val="hybridMultilevel"/>
    <w:tmpl w:val="B142BA70"/>
    <w:lvl w:ilvl="0" w:tplc="1D22102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46310C2D"/>
    <w:multiLevelType w:val="hybridMultilevel"/>
    <w:tmpl w:val="B08C5CC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66E38FD"/>
    <w:multiLevelType w:val="hybridMultilevel"/>
    <w:tmpl w:val="8D347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81143"/>
    <w:multiLevelType w:val="hybridMultilevel"/>
    <w:tmpl w:val="F5EAB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C13C0"/>
    <w:multiLevelType w:val="hybridMultilevel"/>
    <w:tmpl w:val="B87C20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3251E"/>
    <w:multiLevelType w:val="hybridMultilevel"/>
    <w:tmpl w:val="50CA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D505C"/>
    <w:multiLevelType w:val="hybridMultilevel"/>
    <w:tmpl w:val="24A897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CE232D"/>
    <w:multiLevelType w:val="hybridMultilevel"/>
    <w:tmpl w:val="3CA29D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5620B"/>
    <w:multiLevelType w:val="hybridMultilevel"/>
    <w:tmpl w:val="30323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C64A2"/>
    <w:multiLevelType w:val="hybridMultilevel"/>
    <w:tmpl w:val="B6348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D030D"/>
    <w:multiLevelType w:val="hybridMultilevel"/>
    <w:tmpl w:val="7F1CD4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CD21F0E"/>
    <w:multiLevelType w:val="hybridMultilevel"/>
    <w:tmpl w:val="64103B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D3061"/>
    <w:multiLevelType w:val="hybridMultilevel"/>
    <w:tmpl w:val="5016B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34BA0"/>
    <w:multiLevelType w:val="hybridMultilevel"/>
    <w:tmpl w:val="FE324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31A2B"/>
    <w:multiLevelType w:val="hybridMultilevel"/>
    <w:tmpl w:val="378A15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96EC7"/>
    <w:multiLevelType w:val="hybridMultilevel"/>
    <w:tmpl w:val="105875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80560"/>
    <w:multiLevelType w:val="hybridMultilevel"/>
    <w:tmpl w:val="AB848A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B403F9"/>
    <w:multiLevelType w:val="hybridMultilevel"/>
    <w:tmpl w:val="9C88A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46DAC"/>
    <w:multiLevelType w:val="hybridMultilevel"/>
    <w:tmpl w:val="4964F01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D993A9F"/>
    <w:multiLevelType w:val="hybridMultilevel"/>
    <w:tmpl w:val="85569FC6"/>
    <w:lvl w:ilvl="0" w:tplc="DFDA70E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4" w15:restartNumberingAfterBreak="0">
    <w:nsid w:val="7E805342"/>
    <w:multiLevelType w:val="hybridMultilevel"/>
    <w:tmpl w:val="C66E1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36"/>
  </w:num>
  <w:num w:numId="5">
    <w:abstractNumId w:val="29"/>
  </w:num>
  <w:num w:numId="6">
    <w:abstractNumId w:val="1"/>
  </w:num>
  <w:num w:numId="7">
    <w:abstractNumId w:val="21"/>
  </w:num>
  <w:num w:numId="8">
    <w:abstractNumId w:val="43"/>
  </w:num>
  <w:num w:numId="9">
    <w:abstractNumId w:val="41"/>
  </w:num>
  <w:num w:numId="10">
    <w:abstractNumId w:val="18"/>
  </w:num>
  <w:num w:numId="11">
    <w:abstractNumId w:val="30"/>
  </w:num>
  <w:num w:numId="12">
    <w:abstractNumId w:val="4"/>
  </w:num>
  <w:num w:numId="13">
    <w:abstractNumId w:val="44"/>
  </w:num>
  <w:num w:numId="14">
    <w:abstractNumId w:val="7"/>
  </w:num>
  <w:num w:numId="15">
    <w:abstractNumId w:val="3"/>
  </w:num>
  <w:num w:numId="16">
    <w:abstractNumId w:val="5"/>
  </w:num>
  <w:num w:numId="17">
    <w:abstractNumId w:val="6"/>
  </w:num>
  <w:num w:numId="18">
    <w:abstractNumId w:val="12"/>
  </w:num>
  <w:num w:numId="19">
    <w:abstractNumId w:val="37"/>
  </w:num>
  <w:num w:numId="20">
    <w:abstractNumId w:val="8"/>
  </w:num>
  <w:num w:numId="21">
    <w:abstractNumId w:val="20"/>
  </w:num>
  <w:num w:numId="22">
    <w:abstractNumId w:val="10"/>
  </w:num>
  <w:num w:numId="23">
    <w:abstractNumId w:val="32"/>
  </w:num>
  <w:num w:numId="24">
    <w:abstractNumId w:val="38"/>
  </w:num>
  <w:num w:numId="25">
    <w:abstractNumId w:val="0"/>
  </w:num>
  <w:num w:numId="26">
    <w:abstractNumId w:val="42"/>
  </w:num>
  <w:num w:numId="27">
    <w:abstractNumId w:val="24"/>
  </w:num>
  <w:num w:numId="28">
    <w:abstractNumId w:val="17"/>
  </w:num>
  <w:num w:numId="29">
    <w:abstractNumId w:val="25"/>
  </w:num>
  <w:num w:numId="30">
    <w:abstractNumId w:val="28"/>
  </w:num>
  <w:num w:numId="31">
    <w:abstractNumId w:val="35"/>
  </w:num>
  <w:num w:numId="32">
    <w:abstractNumId w:val="9"/>
  </w:num>
  <w:num w:numId="33">
    <w:abstractNumId w:val="19"/>
  </w:num>
  <w:num w:numId="34">
    <w:abstractNumId w:val="15"/>
  </w:num>
  <w:num w:numId="35">
    <w:abstractNumId w:val="27"/>
  </w:num>
  <w:num w:numId="36">
    <w:abstractNumId w:val="16"/>
  </w:num>
  <w:num w:numId="37">
    <w:abstractNumId w:val="31"/>
  </w:num>
  <w:num w:numId="38">
    <w:abstractNumId w:val="14"/>
  </w:num>
  <w:num w:numId="39">
    <w:abstractNumId w:val="34"/>
  </w:num>
  <w:num w:numId="40">
    <w:abstractNumId w:val="26"/>
  </w:num>
  <w:num w:numId="41">
    <w:abstractNumId w:val="23"/>
  </w:num>
  <w:num w:numId="42">
    <w:abstractNumId w:val="11"/>
  </w:num>
  <w:num w:numId="43">
    <w:abstractNumId w:val="2"/>
  </w:num>
  <w:num w:numId="44">
    <w:abstractNumId w:val="3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110AA"/>
    <w:rsid w:val="00065B67"/>
    <w:rsid w:val="000672CA"/>
    <w:rsid w:val="00074788"/>
    <w:rsid w:val="000A2596"/>
    <w:rsid w:val="000A466A"/>
    <w:rsid w:val="000D1764"/>
    <w:rsid w:val="000D762D"/>
    <w:rsid w:val="00152E82"/>
    <w:rsid w:val="0015476C"/>
    <w:rsid w:val="00183736"/>
    <w:rsid w:val="001B18B1"/>
    <w:rsid w:val="001C42DB"/>
    <w:rsid w:val="001E77B9"/>
    <w:rsid w:val="00203227"/>
    <w:rsid w:val="00210A32"/>
    <w:rsid w:val="00213B1A"/>
    <w:rsid w:val="002175EE"/>
    <w:rsid w:val="002232BE"/>
    <w:rsid w:val="002454A8"/>
    <w:rsid w:val="0027649A"/>
    <w:rsid w:val="00290E48"/>
    <w:rsid w:val="002C599F"/>
    <w:rsid w:val="002F312E"/>
    <w:rsid w:val="00324C79"/>
    <w:rsid w:val="00367F45"/>
    <w:rsid w:val="003903C8"/>
    <w:rsid w:val="003B1D07"/>
    <w:rsid w:val="003B5CA1"/>
    <w:rsid w:val="003B5FF9"/>
    <w:rsid w:val="003F0F62"/>
    <w:rsid w:val="004275A3"/>
    <w:rsid w:val="00443D19"/>
    <w:rsid w:val="004740B3"/>
    <w:rsid w:val="004917CA"/>
    <w:rsid w:val="004A0325"/>
    <w:rsid w:val="004A3831"/>
    <w:rsid w:val="004A3F15"/>
    <w:rsid w:val="004F5F32"/>
    <w:rsid w:val="0052202E"/>
    <w:rsid w:val="0055084E"/>
    <w:rsid w:val="005E3F4A"/>
    <w:rsid w:val="00602611"/>
    <w:rsid w:val="00635A72"/>
    <w:rsid w:val="006707C4"/>
    <w:rsid w:val="00671403"/>
    <w:rsid w:val="006777CE"/>
    <w:rsid w:val="00683DE4"/>
    <w:rsid w:val="006858BC"/>
    <w:rsid w:val="006A5941"/>
    <w:rsid w:val="006A7E7A"/>
    <w:rsid w:val="006B66B5"/>
    <w:rsid w:val="006C73F5"/>
    <w:rsid w:val="00727C45"/>
    <w:rsid w:val="00761D47"/>
    <w:rsid w:val="00774688"/>
    <w:rsid w:val="007C45FC"/>
    <w:rsid w:val="00811863"/>
    <w:rsid w:val="00830973"/>
    <w:rsid w:val="00836DC2"/>
    <w:rsid w:val="0084001D"/>
    <w:rsid w:val="008455E7"/>
    <w:rsid w:val="008B56F0"/>
    <w:rsid w:val="008D0F41"/>
    <w:rsid w:val="008D7B53"/>
    <w:rsid w:val="009127C9"/>
    <w:rsid w:val="00920E56"/>
    <w:rsid w:val="009272D5"/>
    <w:rsid w:val="00935093"/>
    <w:rsid w:val="00994781"/>
    <w:rsid w:val="009D7832"/>
    <w:rsid w:val="00A0621B"/>
    <w:rsid w:val="00A3421A"/>
    <w:rsid w:val="00A45D22"/>
    <w:rsid w:val="00A64BBA"/>
    <w:rsid w:val="00A67F3A"/>
    <w:rsid w:val="00AB502F"/>
    <w:rsid w:val="00AF05DC"/>
    <w:rsid w:val="00B06C22"/>
    <w:rsid w:val="00B11597"/>
    <w:rsid w:val="00B2525E"/>
    <w:rsid w:val="00B517E5"/>
    <w:rsid w:val="00B5576B"/>
    <w:rsid w:val="00B57227"/>
    <w:rsid w:val="00B62C91"/>
    <w:rsid w:val="00B6669E"/>
    <w:rsid w:val="00B70EBC"/>
    <w:rsid w:val="00B846C0"/>
    <w:rsid w:val="00BA7C58"/>
    <w:rsid w:val="00C307BD"/>
    <w:rsid w:val="00C51149"/>
    <w:rsid w:val="00C772B9"/>
    <w:rsid w:val="00CC1092"/>
    <w:rsid w:val="00D05B98"/>
    <w:rsid w:val="00D70DD4"/>
    <w:rsid w:val="00D94C55"/>
    <w:rsid w:val="00DA4F5F"/>
    <w:rsid w:val="00DA6A6F"/>
    <w:rsid w:val="00DF0D61"/>
    <w:rsid w:val="00DF0DAF"/>
    <w:rsid w:val="00EB4FDC"/>
    <w:rsid w:val="00F12D10"/>
    <w:rsid w:val="00F42ED8"/>
    <w:rsid w:val="00F57E82"/>
    <w:rsid w:val="00FA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A0C68-239C-49D2-ABC9-3BF3C4CA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ps">
    <w:name w:val="hps"/>
    <w:basedOn w:val="DefaultParagraphFont"/>
    <w:rsid w:val="004917CA"/>
  </w:style>
  <w:style w:type="paragraph" w:customStyle="1" w:styleId="abzacixml">
    <w:name w:val="abzaci_xml"/>
    <w:basedOn w:val="PlainText"/>
    <w:autoRedefine/>
    <w:rsid w:val="0027649A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64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64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13BC-882C-49F6-B28F-BCBD6ED0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97</cp:revision>
  <cp:lastPrinted>2017-11-29T12:23:00Z</cp:lastPrinted>
  <dcterms:created xsi:type="dcterms:W3CDTF">2015-11-13T06:48:00Z</dcterms:created>
  <dcterms:modified xsi:type="dcterms:W3CDTF">2017-12-03T15:42:00Z</dcterms:modified>
</cp:coreProperties>
</file>